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85E" w:rsidRPr="006B6503" w:rsidRDefault="001D585E" w:rsidP="001D585E">
      <w:pPr>
        <w:widowControl w:val="0"/>
        <w:spacing w:before="100" w:beforeAutospacing="1" w:after="100" w:afterAutospacing="1" w:line="360" w:lineRule="auto"/>
        <w:ind w:right="-164"/>
        <w:jc w:val="both"/>
        <w:rPr>
          <w:rFonts w:ascii="Palatino Linotype" w:eastAsia="Calibri" w:hAnsi="Palatino Linotype" w:cs="Arial"/>
          <w:b/>
          <w:color w:val="000000"/>
        </w:rPr>
      </w:pPr>
      <w:r w:rsidRPr="006B6503">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MUNICIPIOS, EN LA CUADRAGÉSIMA SESIÓN ORDINARIA DE TREINTA Y UNO DE OCTUBRE DE DOS MIL DIECIOCHO, EN EL RECURSO DE REVISIÓN 03491/INFOEM/IP/RR/2018</w:t>
      </w:r>
      <w:r w:rsidRPr="006B6503">
        <w:rPr>
          <w:rFonts w:ascii="Palatino Linotype" w:eastAsia="Calibri" w:hAnsi="Palatino Linotype" w:cs="Arial"/>
          <w:b/>
          <w:color w:val="000000"/>
        </w:rPr>
        <w:t>.</w:t>
      </w:r>
    </w:p>
    <w:p w:rsidR="001D585E" w:rsidRPr="006B6503" w:rsidRDefault="001D585E" w:rsidP="001D585E">
      <w:pPr>
        <w:spacing w:before="100" w:beforeAutospacing="1" w:after="100" w:afterAutospacing="1" w:line="360" w:lineRule="auto"/>
        <w:jc w:val="both"/>
        <w:rPr>
          <w:rFonts w:ascii="Palatino Linotype" w:hAnsi="Palatino Linotype" w:cs="Arial"/>
        </w:rPr>
      </w:pPr>
      <w:r w:rsidRPr="006B6503">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B6503">
        <w:rPr>
          <w:rFonts w:ascii="Palatino Linotype" w:hAnsi="Palatino Linotype" w:cs="Arial"/>
          <w:b/>
          <w:lang w:val="es-ES_tradnl"/>
        </w:rPr>
        <w:t xml:space="preserve"> </w:t>
      </w:r>
      <w:r w:rsidRPr="006B6503">
        <w:rPr>
          <w:rFonts w:ascii="Palatino Linotype" w:hAnsi="Palatino Linotype" w:cs="Arial"/>
          <w:b/>
        </w:rPr>
        <w:t xml:space="preserve">EVA ABAID YAPUR </w:t>
      </w:r>
      <w:r w:rsidRPr="006B6503">
        <w:rPr>
          <w:rFonts w:ascii="Palatino Linotype" w:hAnsi="Palatino Linotype" w:cs="Arial"/>
        </w:rPr>
        <w:t xml:space="preserve">emite </w:t>
      </w:r>
      <w:r w:rsidRPr="006B6503">
        <w:rPr>
          <w:rFonts w:ascii="Palatino Linotype" w:hAnsi="Palatino Linotype" w:cs="Arial"/>
          <w:b/>
        </w:rPr>
        <w:t xml:space="preserve">VOTO PARTICULAR </w:t>
      </w:r>
      <w:r w:rsidRPr="006B6503">
        <w:rPr>
          <w:rFonts w:ascii="Palatino Linotype" w:hAnsi="Palatino Linotype" w:cs="Arial"/>
        </w:rPr>
        <w:t xml:space="preserve">respecto de la resolución dictada en el recurso de revisión </w:t>
      </w:r>
      <w:r w:rsidRPr="006B6503">
        <w:rPr>
          <w:rFonts w:ascii="Palatino Linotype" w:eastAsia="Calibri" w:hAnsi="Palatino Linotype" w:cs="Arial"/>
          <w:b/>
          <w:color w:val="000000"/>
        </w:rPr>
        <w:t>03491/INFOEM/IP/RR/2018</w:t>
      </w:r>
      <w:r w:rsidRPr="006B6503">
        <w:rPr>
          <w:rFonts w:ascii="Palatino Linotype" w:hAnsi="Palatino Linotype" w:cs="Arial"/>
        </w:rPr>
        <w:t xml:space="preserve">, pronunciada por el Pleno de este Instituto ante el proyecto presentado por el Comisionado </w:t>
      </w:r>
      <w:r w:rsidRPr="006B6503">
        <w:rPr>
          <w:rFonts w:ascii="Palatino Linotype" w:hAnsi="Palatino Linotype" w:cs="Arial"/>
          <w:b/>
        </w:rPr>
        <w:t>LUIS GUSTAVO PARRA NORIEGA</w:t>
      </w:r>
      <w:r w:rsidRPr="006B6503">
        <w:rPr>
          <w:rFonts w:ascii="Palatino Linotype" w:hAnsi="Palatino Linotype" w:cs="Arial"/>
        </w:rPr>
        <w:t>, que es del tenor siguiente.</w:t>
      </w:r>
    </w:p>
    <w:p w:rsidR="001D585E" w:rsidRPr="006B6503" w:rsidRDefault="001D585E" w:rsidP="001D585E">
      <w:pPr>
        <w:spacing w:before="100" w:beforeAutospacing="1" w:after="100" w:afterAutospacing="1" w:line="360" w:lineRule="auto"/>
        <w:jc w:val="both"/>
        <w:rPr>
          <w:rFonts w:ascii="Palatino Linotype" w:hAnsi="Palatino Linotype"/>
        </w:rPr>
      </w:pPr>
      <w:r w:rsidRPr="006B6503">
        <w:rPr>
          <w:rFonts w:ascii="Palatino Linotype" w:hAnsi="Palatino Linotype"/>
        </w:rPr>
        <w:t xml:space="preserve">Al respecto, tal y como quedó debidamente asentado en la resolución materia del presente voto, el particular requirió del </w:t>
      </w:r>
      <w:r w:rsidRPr="006B6503">
        <w:rPr>
          <w:rFonts w:ascii="Palatino Linotype" w:hAnsi="Palatino Linotype" w:cs="Tahoma"/>
          <w:b/>
          <w:bCs/>
          <w:color w:val="0D0D0D" w:themeColor="text1" w:themeTint="F2"/>
        </w:rPr>
        <w:t>Organismo Descentralizado de Agua Potable Alcantarillado y Saneamiento del Municipio de Chalco,</w:t>
      </w:r>
      <w:r w:rsidRPr="006B6503">
        <w:rPr>
          <w:rFonts w:ascii="Palatino Linotype" w:hAnsi="Palatino Linotype"/>
        </w:rPr>
        <w:t xml:space="preserve"> en lo sucesivo </w:t>
      </w:r>
      <w:r w:rsidRPr="006B6503">
        <w:rPr>
          <w:rFonts w:ascii="Palatino Linotype" w:hAnsi="Palatino Linotype"/>
          <w:b/>
        </w:rPr>
        <w:t xml:space="preserve">EL SUJETO OBLIGADO, </w:t>
      </w:r>
      <w:r w:rsidRPr="006B6503">
        <w:rPr>
          <w:rFonts w:ascii="Palatino Linotype" w:hAnsi="Palatino Linotype"/>
        </w:rPr>
        <w:t>la situación actual de la Dependencia con relación a bienes de Tecnologías Informáticas de la Comunicación, bienes informáticos con los que cuenta y relación de sistemas informáticos del año 2016 al 28 de agosto de 2018.</w:t>
      </w:r>
    </w:p>
    <w:p w:rsidR="001D585E" w:rsidRPr="006B6503" w:rsidRDefault="001D585E" w:rsidP="001D585E">
      <w:pPr>
        <w:spacing w:before="100" w:beforeAutospacing="1" w:after="100" w:afterAutospacing="1" w:line="360" w:lineRule="auto"/>
        <w:ind w:right="49"/>
        <w:jc w:val="both"/>
        <w:rPr>
          <w:rFonts w:ascii="Palatino Linotype" w:hAnsi="Palatino Linotype" w:cs="Arial"/>
        </w:rPr>
      </w:pPr>
      <w:r w:rsidRPr="006B6503">
        <w:rPr>
          <w:rFonts w:ascii="Palatino Linotype" w:hAnsi="Palatino Linotype" w:cs="Arial"/>
        </w:rPr>
        <w:lastRenderedPageBreak/>
        <w:t xml:space="preserve">Del expediente electrónico del Sistema de Acceso a la Información Mexiquense, </w:t>
      </w:r>
      <w:r w:rsidRPr="006B6503">
        <w:rPr>
          <w:rFonts w:ascii="Palatino Linotype" w:hAnsi="Palatino Linotype" w:cs="Arial"/>
          <w:b/>
        </w:rPr>
        <w:t xml:space="preserve">SAIMEX, </w:t>
      </w:r>
      <w:r w:rsidRPr="006B6503">
        <w:rPr>
          <w:rFonts w:ascii="Palatino Linotype" w:hAnsi="Palatino Linotype" w:cs="Arial"/>
        </w:rPr>
        <w:t xml:space="preserve">se advierte que </w:t>
      </w:r>
      <w:r w:rsidRPr="006B6503">
        <w:rPr>
          <w:rFonts w:ascii="Palatino Linotype" w:hAnsi="Palatino Linotype" w:cs="Arial"/>
          <w:b/>
        </w:rPr>
        <w:t>EL SUJETO OBLIGADO</w:t>
      </w:r>
      <w:r w:rsidRPr="006B6503">
        <w:rPr>
          <w:rFonts w:ascii="Palatino Linotype" w:hAnsi="Palatino Linotype" w:cs="Arial"/>
        </w:rPr>
        <w:t>, fue omiso en dar respuesta a la solicitud de información que le fue planteada.</w:t>
      </w:r>
    </w:p>
    <w:p w:rsidR="001D585E" w:rsidRPr="006B6503" w:rsidRDefault="001D585E" w:rsidP="001D585E">
      <w:pPr>
        <w:spacing w:before="100" w:beforeAutospacing="1" w:after="100" w:afterAutospacing="1" w:line="360" w:lineRule="auto"/>
        <w:jc w:val="both"/>
        <w:rPr>
          <w:rFonts w:ascii="Palatino Linotype" w:hAnsi="Palatino Linotype" w:cs="Arial"/>
        </w:rPr>
      </w:pPr>
      <w:r w:rsidRPr="006B6503">
        <w:rPr>
          <w:rFonts w:ascii="Palatino Linotype" w:hAnsi="Palatino Linotype"/>
          <w:color w:val="000000"/>
          <w:lang w:val="es-MX" w:eastAsia="es-MX"/>
        </w:rPr>
        <w:t xml:space="preserve">Inconforme con la falta de respuesta, </w:t>
      </w:r>
      <w:r w:rsidRPr="006B6503">
        <w:rPr>
          <w:rFonts w:ascii="Palatino Linotype" w:hAnsi="Palatino Linotype"/>
          <w:b/>
          <w:color w:val="000000"/>
          <w:lang w:val="es-MX" w:eastAsia="es-MX"/>
        </w:rPr>
        <w:t>EL RECURRENTE</w:t>
      </w:r>
      <w:r w:rsidRPr="006B6503">
        <w:rPr>
          <w:rFonts w:ascii="Palatino Linotype" w:hAnsi="Palatino Linotype"/>
          <w:color w:val="000000"/>
          <w:lang w:val="es-MX" w:eastAsia="es-MX"/>
        </w:rPr>
        <w:t xml:space="preserve"> </w:t>
      </w:r>
      <w:r w:rsidRPr="006B6503">
        <w:rPr>
          <w:rFonts w:ascii="Palatino Linotype" w:hAnsi="Palatino Linotype" w:cs="Arial"/>
        </w:rPr>
        <w:t>interpuso el recurso de revisión de mérito.</w:t>
      </w:r>
    </w:p>
    <w:p w:rsidR="001D585E" w:rsidRPr="006B6503" w:rsidRDefault="001D585E" w:rsidP="001D585E">
      <w:pPr>
        <w:spacing w:before="100" w:beforeAutospacing="1" w:after="100" w:afterAutospacing="1" w:line="360" w:lineRule="auto"/>
        <w:ind w:right="49"/>
        <w:jc w:val="both"/>
        <w:rPr>
          <w:rFonts w:ascii="Palatino Linotype" w:hAnsi="Palatino Linotype" w:cs="Arial"/>
        </w:rPr>
      </w:pPr>
      <w:r w:rsidRPr="006B6503">
        <w:rPr>
          <w:rFonts w:ascii="Palatino Linotype" w:hAnsi="Palatino Linotype" w:cs="Arial"/>
        </w:rPr>
        <w:t>Así, del estudio d</w:t>
      </w:r>
      <w:r w:rsidRPr="006B6503">
        <w:rPr>
          <w:rFonts w:ascii="Palatino Linotype" w:hAnsi="Palatino Linotype"/>
        </w:rPr>
        <w:t>el expediente electrónico</w:t>
      </w:r>
      <w:r w:rsidRPr="006B6503">
        <w:rPr>
          <w:rFonts w:ascii="Palatino Linotype" w:hAnsi="Palatino Linotype" w:cs="Arial"/>
        </w:rPr>
        <w:t xml:space="preserve"> la Ponencia Resolutora determinó </w:t>
      </w:r>
      <w:r w:rsidRPr="006B6503">
        <w:rPr>
          <w:rFonts w:ascii="Palatino Linotype" w:hAnsi="Palatino Linotype" w:cs="Arial"/>
          <w:b/>
        </w:rPr>
        <w:t xml:space="preserve">Ordenar </w:t>
      </w:r>
      <w:r w:rsidR="000C7356" w:rsidRPr="006B6503">
        <w:rPr>
          <w:rFonts w:ascii="Palatino Linotype" w:hAnsi="Palatino Linotype" w:cs="Arial"/>
        </w:rPr>
        <w:t>la entrega de la expresión documental que dé cuenta de:</w:t>
      </w:r>
    </w:p>
    <w:p w:rsidR="000C7356" w:rsidRPr="006B6503" w:rsidRDefault="000C7356" w:rsidP="000C7356">
      <w:pPr>
        <w:pStyle w:val="Prrafodelista"/>
        <w:numPr>
          <w:ilvl w:val="0"/>
          <w:numId w:val="1"/>
        </w:numPr>
        <w:ind w:left="851" w:right="899" w:firstLine="0"/>
        <w:jc w:val="both"/>
        <w:rPr>
          <w:rFonts w:ascii="Palatino Linotype" w:eastAsia="Calibri" w:hAnsi="Palatino Linotype" w:cs="Tahoma"/>
          <w:bCs/>
          <w:i/>
          <w:szCs w:val="22"/>
          <w:lang w:val="es-ES" w:eastAsia="en-US"/>
        </w:rPr>
      </w:pPr>
      <w:r w:rsidRPr="006B6503">
        <w:rPr>
          <w:rFonts w:ascii="Palatino Linotype" w:eastAsia="Calibri" w:hAnsi="Palatino Linotype" w:cs="Tahoma"/>
          <w:bCs/>
          <w:i/>
          <w:szCs w:val="22"/>
          <w:lang w:val="es-ES" w:eastAsia="en-US"/>
        </w:rPr>
        <w:t>La situación actual de la dependencia con relación a bienes de Tecnologías de la Información y Comunicación (TIC);</w:t>
      </w:r>
    </w:p>
    <w:p w:rsidR="000C7356" w:rsidRPr="006B6503" w:rsidRDefault="000C7356" w:rsidP="000C7356">
      <w:pPr>
        <w:pStyle w:val="Prrafodelista"/>
        <w:numPr>
          <w:ilvl w:val="0"/>
          <w:numId w:val="1"/>
        </w:numPr>
        <w:ind w:left="851" w:right="899" w:firstLine="0"/>
        <w:jc w:val="both"/>
        <w:rPr>
          <w:rFonts w:ascii="Palatino Linotype" w:eastAsia="Calibri" w:hAnsi="Palatino Linotype" w:cs="Tahoma"/>
          <w:bCs/>
          <w:i/>
          <w:szCs w:val="22"/>
          <w:lang w:val="es-ES" w:eastAsia="en-US"/>
        </w:rPr>
      </w:pPr>
      <w:r w:rsidRPr="006B6503">
        <w:rPr>
          <w:rFonts w:ascii="Palatino Linotype" w:eastAsia="Calibri" w:hAnsi="Palatino Linotype" w:cs="Tahoma"/>
          <w:bCs/>
          <w:i/>
          <w:szCs w:val="22"/>
          <w:lang w:val="es-ES" w:eastAsia="en-US"/>
        </w:rPr>
        <w:t>La relación de bienes y sistemas informáticos, y;</w:t>
      </w:r>
    </w:p>
    <w:p w:rsidR="000C7356" w:rsidRPr="006B6503" w:rsidRDefault="000C7356" w:rsidP="000C7356">
      <w:pPr>
        <w:pStyle w:val="Prrafodelista"/>
        <w:numPr>
          <w:ilvl w:val="0"/>
          <w:numId w:val="1"/>
        </w:numPr>
        <w:ind w:left="851" w:right="899" w:firstLine="0"/>
        <w:jc w:val="both"/>
        <w:rPr>
          <w:rFonts w:ascii="Palatino Linotype" w:eastAsia="Calibri" w:hAnsi="Palatino Linotype" w:cs="Tahoma"/>
          <w:bCs/>
          <w:i/>
          <w:szCs w:val="22"/>
          <w:lang w:val="es-ES" w:eastAsia="en-US"/>
        </w:rPr>
      </w:pPr>
      <w:r w:rsidRPr="006B6503">
        <w:rPr>
          <w:rFonts w:ascii="Palatino Linotype" w:eastAsia="Calibri" w:hAnsi="Palatino Linotype" w:cs="Tahoma"/>
          <w:bCs/>
          <w:i/>
          <w:szCs w:val="22"/>
          <w:lang w:val="es-ES" w:eastAsia="en-US"/>
        </w:rPr>
        <w:t>La compra de bienes informáticos.</w:t>
      </w:r>
    </w:p>
    <w:p w:rsidR="000C7356" w:rsidRPr="006B6503" w:rsidRDefault="000C7356" w:rsidP="000C7356">
      <w:pPr>
        <w:ind w:left="851" w:right="899"/>
        <w:jc w:val="both"/>
        <w:rPr>
          <w:rFonts w:ascii="Palatino Linotype" w:eastAsia="Calibri" w:hAnsi="Palatino Linotype" w:cs="Tahoma"/>
          <w:bCs/>
          <w:i/>
          <w:sz w:val="22"/>
          <w:szCs w:val="22"/>
          <w:lang w:eastAsia="en-US"/>
        </w:rPr>
      </w:pPr>
    </w:p>
    <w:p w:rsidR="000C7356" w:rsidRPr="006B6503" w:rsidRDefault="000C7356" w:rsidP="000C7356">
      <w:pPr>
        <w:ind w:left="851" w:right="899"/>
        <w:jc w:val="both"/>
        <w:rPr>
          <w:rFonts w:ascii="Palatino Linotype" w:eastAsia="Calibri" w:hAnsi="Palatino Linotype" w:cs="Tahoma"/>
          <w:bCs/>
          <w:i/>
          <w:sz w:val="22"/>
          <w:szCs w:val="22"/>
          <w:lang w:eastAsia="en-US"/>
        </w:rPr>
      </w:pPr>
      <w:r w:rsidRPr="006B6503">
        <w:rPr>
          <w:rFonts w:ascii="Palatino Linotype" w:eastAsia="Calibri" w:hAnsi="Palatino Linotype" w:cs="Tahoma"/>
          <w:bCs/>
          <w:i/>
          <w:sz w:val="22"/>
          <w:szCs w:val="22"/>
          <w:lang w:eastAsia="en-US"/>
        </w:rPr>
        <w:t>La información de referencia, deberá ser entregada por el periodo comprendido desde el año dos mil dieciséis y hasta la fecha de presentación de la solicitud materia de la presente Resolución. En caso de que la información solicitada conste en documentos que contengan información reservada o confidencial, se deberá entregar en versión pública, junto con el respectivo acuerdo del Comité de Transparencia.</w:t>
      </w:r>
    </w:p>
    <w:p w:rsidR="000C7356" w:rsidRPr="006B6503" w:rsidRDefault="001D585E" w:rsidP="001D585E">
      <w:pPr>
        <w:spacing w:before="100" w:beforeAutospacing="1" w:after="100" w:afterAutospacing="1" w:line="360" w:lineRule="auto"/>
        <w:jc w:val="both"/>
        <w:rPr>
          <w:rFonts w:ascii="Palatino Linotype" w:hAnsi="Palatino Linotype" w:cs="Arial"/>
          <w:b/>
          <w:lang w:val="es-MX"/>
        </w:rPr>
      </w:pPr>
      <w:r w:rsidRPr="006B6503">
        <w:rPr>
          <w:rFonts w:ascii="Palatino Linotype" w:hAnsi="Palatino Linotype" w:cs="Arial"/>
          <w:lang w:val="es-MX"/>
        </w:rPr>
        <w:t xml:space="preserve">En ese sentido, la que suscribe si bien coincide en términos generales con </w:t>
      </w:r>
      <w:r w:rsidR="000C7356" w:rsidRPr="006B6503">
        <w:rPr>
          <w:rFonts w:ascii="Palatino Linotype" w:hAnsi="Palatino Linotype" w:cs="Arial"/>
          <w:lang w:val="es-MX"/>
        </w:rPr>
        <w:t>el sentido y parte del estudio realizado por la Ponencia Resolutora, difiero respecto a que no se precise</w:t>
      </w:r>
      <w:r w:rsidR="003E709A">
        <w:rPr>
          <w:rFonts w:ascii="Palatino Linotype" w:hAnsi="Palatino Linotype" w:cs="Arial"/>
          <w:lang w:val="es-MX"/>
        </w:rPr>
        <w:t>n</w:t>
      </w:r>
      <w:r w:rsidR="000C7356" w:rsidRPr="006B6503">
        <w:rPr>
          <w:rFonts w:ascii="Palatino Linotype" w:hAnsi="Palatino Linotype" w:cs="Arial"/>
          <w:lang w:val="es-MX"/>
        </w:rPr>
        <w:t xml:space="preserve"> los términos en los que se considera que deberá entregar la información en versión pública y las condiciones que deben tomar en cuenta los Sujetos Obligados para la elaboración del Acuerdo de Clasificación de la información que la sustente, así como, que se señale en el Resolutivo Quinto el artículo 222 de la Ley de la materia para dar vista al Contralor Interno y Titular del Órgano de Control y Vigilancia de este Instituto </w:t>
      </w:r>
      <w:r w:rsidR="003E709A">
        <w:rPr>
          <w:rFonts w:ascii="Palatino Linotype" w:hAnsi="Palatino Linotype" w:cs="Arial"/>
          <w:lang w:val="es-MX"/>
        </w:rPr>
        <w:t xml:space="preserve">dada </w:t>
      </w:r>
      <w:r w:rsidR="000C7356" w:rsidRPr="006B6503">
        <w:rPr>
          <w:rFonts w:ascii="Palatino Linotype" w:hAnsi="Palatino Linotype" w:cs="Arial"/>
          <w:lang w:val="es-MX"/>
        </w:rPr>
        <w:t xml:space="preserve">la negativa ficta en que incurrió </w:t>
      </w:r>
      <w:r w:rsidR="000C7356" w:rsidRPr="006B6503">
        <w:rPr>
          <w:rFonts w:ascii="Palatino Linotype" w:hAnsi="Palatino Linotype" w:cs="Arial"/>
          <w:b/>
          <w:lang w:val="es-MX"/>
        </w:rPr>
        <w:t>EL SUJETO OBLIGADO.</w:t>
      </w:r>
    </w:p>
    <w:p w:rsidR="000C7356" w:rsidRPr="006B6503" w:rsidRDefault="000C7356" w:rsidP="006D1961">
      <w:pPr>
        <w:autoSpaceDE w:val="0"/>
        <w:autoSpaceDN w:val="0"/>
        <w:adjustRightInd w:val="0"/>
        <w:spacing w:before="100" w:beforeAutospacing="1" w:after="100" w:afterAutospacing="1" w:line="360" w:lineRule="auto"/>
        <w:jc w:val="both"/>
        <w:rPr>
          <w:rFonts w:ascii="Palatino Linotype" w:hAnsi="Palatino Linotype" w:cs="Arial"/>
        </w:rPr>
      </w:pPr>
      <w:r w:rsidRPr="006B6503">
        <w:rPr>
          <w:rFonts w:ascii="Palatino Linotype" w:hAnsi="Palatino Linotype" w:cs="Arial"/>
        </w:rPr>
        <w:lastRenderedPageBreak/>
        <w:t>Por lo que,</w:t>
      </w:r>
      <w:r w:rsidR="006D1961" w:rsidRPr="006B6503">
        <w:rPr>
          <w:rFonts w:ascii="Palatino Linotype" w:hAnsi="Palatino Linotype" w:cs="Arial"/>
        </w:rPr>
        <w:t xml:space="preserve"> la Ponencia Resolutora al determinar que la entrega de la información procedería en versión pública debió considerar </w:t>
      </w:r>
      <w:r w:rsidRPr="006B6503">
        <w:rPr>
          <w:rFonts w:ascii="Palatino Linotype" w:hAnsi="Palatino Linotype" w:cs="Arial"/>
        </w:rPr>
        <w:t>lo dispuesto en los artículos 3</w:t>
      </w:r>
      <w:r w:rsidR="003E709A">
        <w:rPr>
          <w:rFonts w:ascii="Palatino Linotype" w:hAnsi="Palatino Linotype" w:cs="Arial"/>
        </w:rPr>
        <w:t>,</w:t>
      </w:r>
      <w:r w:rsidRPr="006B6503">
        <w:rPr>
          <w:rFonts w:ascii="Palatino Linotype" w:hAnsi="Palatino Linotype" w:cs="Arial"/>
        </w:rPr>
        <w:t xml:space="preserve"> fracciones IX, XX, XXI y XLV, 91, 132</w:t>
      </w:r>
      <w:r w:rsidR="003E709A">
        <w:rPr>
          <w:rFonts w:ascii="Palatino Linotype" w:hAnsi="Palatino Linotype" w:cs="Arial"/>
        </w:rPr>
        <w:t>,</w:t>
      </w:r>
      <w:r w:rsidRPr="006B6503">
        <w:rPr>
          <w:rFonts w:ascii="Palatino Linotype" w:hAnsi="Palatino Linotype" w:cs="Arial"/>
        </w:rPr>
        <w:t xml:space="preserve"> fracciones II y III, y 143</w:t>
      </w:r>
      <w:r w:rsidR="003E709A">
        <w:rPr>
          <w:rFonts w:ascii="Palatino Linotype" w:hAnsi="Palatino Linotype" w:cs="Arial"/>
        </w:rPr>
        <w:t>,</w:t>
      </w:r>
      <w:r w:rsidRPr="006B6503">
        <w:rPr>
          <w:rFonts w:ascii="Palatino Linotype" w:hAnsi="Palatino Linotype" w:cs="Arial"/>
        </w:rPr>
        <w:t xml:space="preserve"> fracciones I, II y III de la Ley de Transparencia y Acceso a la Información Pública del Estado de México y Municipios que establecen:</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b/>
          <w:i/>
          <w:sz w:val="22"/>
          <w:szCs w:val="22"/>
        </w:rPr>
        <w:t>“Artículo 3.</w:t>
      </w:r>
      <w:r w:rsidRPr="006B6503">
        <w:rPr>
          <w:rFonts w:ascii="Palatino Linotype" w:hAnsi="Palatino Linotype" w:cs="Arial"/>
          <w:i/>
          <w:sz w:val="22"/>
          <w:szCs w:val="22"/>
        </w:rPr>
        <w:t xml:space="preserve"> Para los efectos de la presente Ley se entenderá por:</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i/>
          <w:sz w:val="22"/>
          <w:szCs w:val="22"/>
        </w:rPr>
        <w:t>[…]</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b/>
          <w:i/>
          <w:sz w:val="22"/>
          <w:szCs w:val="22"/>
        </w:rPr>
        <w:t>IX. Datos personales:</w:t>
      </w:r>
      <w:r w:rsidRPr="006B6503">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b/>
          <w:i/>
          <w:sz w:val="22"/>
          <w:szCs w:val="22"/>
        </w:rPr>
        <w:t>XX.</w:t>
      </w:r>
      <w:r w:rsidRPr="006B6503">
        <w:rPr>
          <w:rFonts w:ascii="Palatino Linotype" w:hAnsi="Palatino Linotype" w:cs="Arial"/>
          <w:i/>
          <w:sz w:val="22"/>
          <w:szCs w:val="22"/>
        </w:rPr>
        <w:t xml:space="preserve"> </w:t>
      </w:r>
      <w:r w:rsidRPr="006B6503">
        <w:rPr>
          <w:rFonts w:ascii="Palatino Linotype" w:hAnsi="Palatino Linotype" w:cs="Arial"/>
          <w:b/>
          <w:i/>
          <w:sz w:val="22"/>
          <w:szCs w:val="22"/>
        </w:rPr>
        <w:t>Información clasificada:</w:t>
      </w:r>
      <w:r w:rsidRPr="006B6503">
        <w:rPr>
          <w:rFonts w:ascii="Palatino Linotype" w:hAnsi="Palatino Linotype" w:cs="Arial"/>
          <w:i/>
          <w:sz w:val="22"/>
          <w:szCs w:val="22"/>
        </w:rPr>
        <w:t xml:space="preserve"> Aquella considerada por la presente Ley como reservada o confidencial;</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b/>
          <w:i/>
          <w:sz w:val="22"/>
          <w:szCs w:val="22"/>
        </w:rPr>
        <w:t>XXI.</w:t>
      </w:r>
      <w:r w:rsidRPr="006B6503">
        <w:rPr>
          <w:rFonts w:ascii="Palatino Linotype" w:hAnsi="Palatino Linotype" w:cs="Arial"/>
          <w:i/>
          <w:sz w:val="22"/>
          <w:szCs w:val="22"/>
        </w:rPr>
        <w:t xml:space="preserve"> </w:t>
      </w:r>
      <w:r w:rsidRPr="006B6503">
        <w:rPr>
          <w:rFonts w:ascii="Palatino Linotype" w:hAnsi="Palatino Linotype" w:cs="Arial"/>
          <w:b/>
          <w:i/>
          <w:sz w:val="22"/>
          <w:szCs w:val="22"/>
        </w:rPr>
        <w:t>Información confidencial:</w:t>
      </w:r>
      <w:r w:rsidRPr="006B650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b/>
          <w:i/>
          <w:sz w:val="22"/>
          <w:szCs w:val="22"/>
        </w:rPr>
        <w:t>XLV.</w:t>
      </w:r>
      <w:r w:rsidRPr="006B6503">
        <w:rPr>
          <w:rFonts w:ascii="Palatino Linotype" w:hAnsi="Palatino Linotype" w:cs="Arial"/>
          <w:i/>
          <w:sz w:val="22"/>
          <w:szCs w:val="22"/>
        </w:rPr>
        <w:t xml:space="preserve"> </w:t>
      </w:r>
      <w:r w:rsidRPr="006B6503">
        <w:rPr>
          <w:rFonts w:ascii="Palatino Linotype" w:hAnsi="Palatino Linotype" w:cs="Arial"/>
          <w:b/>
          <w:i/>
          <w:sz w:val="22"/>
          <w:szCs w:val="22"/>
        </w:rPr>
        <w:t>Versión pública:</w:t>
      </w:r>
      <w:r w:rsidRPr="006B6503">
        <w:rPr>
          <w:rFonts w:ascii="Palatino Linotype" w:hAnsi="Palatino Linotype" w:cs="Arial"/>
          <w:i/>
          <w:sz w:val="22"/>
          <w:szCs w:val="22"/>
        </w:rPr>
        <w:t xml:space="preserve"> Documento en el que se elimine, suprime o borra la información clasificada como reservada o confidencial para permitir su acceso.</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i/>
          <w:sz w:val="22"/>
          <w:szCs w:val="22"/>
        </w:rPr>
        <w:t>[…]</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b/>
          <w:i/>
          <w:sz w:val="22"/>
          <w:szCs w:val="22"/>
        </w:rPr>
        <w:t xml:space="preserve">Artículo 91. </w:t>
      </w:r>
      <w:r w:rsidRPr="006B6503">
        <w:rPr>
          <w:rFonts w:ascii="Palatino Linotype" w:hAnsi="Palatino Linotype" w:cs="Arial"/>
          <w:i/>
          <w:sz w:val="22"/>
          <w:szCs w:val="22"/>
        </w:rPr>
        <w:t>El acceso a la información pública será restringido excepcionalmente, cuando ésta sea clasificada como reservada o confidencial.</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b/>
          <w:i/>
          <w:sz w:val="22"/>
          <w:szCs w:val="22"/>
        </w:rPr>
        <w:t>Artículo 132.</w:t>
      </w:r>
      <w:r w:rsidRPr="006B6503">
        <w:rPr>
          <w:rFonts w:ascii="Palatino Linotype" w:hAnsi="Palatino Linotype" w:cs="Arial"/>
          <w:i/>
          <w:sz w:val="22"/>
          <w:szCs w:val="22"/>
        </w:rPr>
        <w:t xml:space="preserve"> La clasificación de la información se llevará a cabo en el momento en que:</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b/>
          <w:i/>
          <w:sz w:val="22"/>
          <w:szCs w:val="22"/>
        </w:rPr>
        <w:t>II.</w:t>
      </w:r>
      <w:r w:rsidRPr="006B6503">
        <w:rPr>
          <w:rFonts w:ascii="Palatino Linotype" w:hAnsi="Palatino Linotype" w:cs="Arial"/>
          <w:i/>
          <w:sz w:val="22"/>
          <w:szCs w:val="22"/>
        </w:rPr>
        <w:t xml:space="preserve"> Se determine mediante resolución de autoridad competente; o</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b/>
          <w:i/>
          <w:sz w:val="22"/>
          <w:szCs w:val="22"/>
        </w:rPr>
        <w:t>III.</w:t>
      </w:r>
      <w:r w:rsidRPr="006B6503">
        <w:rPr>
          <w:rFonts w:ascii="Palatino Linotype" w:hAnsi="Palatino Linotype" w:cs="Arial"/>
          <w:i/>
          <w:sz w:val="22"/>
          <w:szCs w:val="22"/>
        </w:rPr>
        <w:t xml:space="preserve"> Se generen versiones públicas para dar cumplimiento a las obligaciones de transparencia previstas en esta Ley.</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i/>
          <w:sz w:val="22"/>
          <w:szCs w:val="22"/>
        </w:rPr>
        <w:t>[…]</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b/>
          <w:i/>
          <w:sz w:val="22"/>
          <w:szCs w:val="22"/>
        </w:rPr>
        <w:t>Artículo 143.</w:t>
      </w:r>
      <w:r w:rsidRPr="006B6503">
        <w:rPr>
          <w:rFonts w:ascii="Palatino Linotype" w:hAnsi="Palatino Linotype" w:cs="Arial"/>
          <w:i/>
          <w:sz w:val="22"/>
          <w:szCs w:val="22"/>
        </w:rPr>
        <w:t xml:space="preserve"> Para los efectos de esta Ley se considera información confidencial, la clasificada como tal, de manera permanente, por su naturaleza, cuando:</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b/>
          <w:i/>
          <w:sz w:val="22"/>
          <w:szCs w:val="22"/>
        </w:rPr>
        <w:t>I.</w:t>
      </w:r>
      <w:r w:rsidRPr="006B6503">
        <w:rPr>
          <w:rFonts w:ascii="Palatino Linotype" w:hAnsi="Palatino Linotype" w:cs="Arial"/>
          <w:i/>
          <w:sz w:val="22"/>
          <w:szCs w:val="22"/>
        </w:rPr>
        <w:t xml:space="preserve"> Se refiera a la información privada y los datos personales concernientes a una persona física o </w:t>
      </w:r>
      <w:proofErr w:type="gramStart"/>
      <w:r w:rsidRPr="006B6503">
        <w:rPr>
          <w:rFonts w:ascii="Palatino Linotype" w:hAnsi="Palatino Linotype" w:cs="Arial"/>
          <w:i/>
          <w:sz w:val="22"/>
          <w:szCs w:val="22"/>
        </w:rPr>
        <w:t>jurídico</w:t>
      </w:r>
      <w:proofErr w:type="gramEnd"/>
      <w:r w:rsidRPr="006B6503">
        <w:rPr>
          <w:rFonts w:ascii="Palatino Linotype" w:hAnsi="Palatino Linotype" w:cs="Arial"/>
          <w:i/>
          <w:sz w:val="22"/>
          <w:szCs w:val="22"/>
        </w:rPr>
        <w:t xml:space="preserve"> colectiva identificada o identificable;</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b/>
          <w:i/>
          <w:sz w:val="22"/>
          <w:szCs w:val="22"/>
        </w:rPr>
        <w:lastRenderedPageBreak/>
        <w:t>II.</w:t>
      </w:r>
      <w:r w:rsidRPr="006B6503">
        <w:rPr>
          <w:rFonts w:ascii="Palatino Linotype" w:hAnsi="Palatino Linotype" w:cs="Arial"/>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b/>
          <w:i/>
          <w:sz w:val="22"/>
          <w:szCs w:val="22"/>
        </w:rPr>
        <w:t>III.</w:t>
      </w:r>
      <w:r w:rsidRPr="006B6503">
        <w:rPr>
          <w:rFonts w:ascii="Palatino Linotype" w:hAnsi="Palatino Linotype" w:cs="Arial"/>
          <w:i/>
          <w:sz w:val="22"/>
          <w:szCs w:val="22"/>
        </w:rPr>
        <w:t xml:space="preserve"> La que presenten los particulares a los sujetos obligados, de conformidad con lo dispuesto por las leyes o los tratados internacionales.</w:t>
      </w:r>
    </w:p>
    <w:p w:rsidR="000C7356" w:rsidRPr="006B6503" w:rsidRDefault="000C7356" w:rsidP="000C7356">
      <w:pPr>
        <w:ind w:left="851" w:right="851"/>
        <w:jc w:val="both"/>
        <w:rPr>
          <w:rFonts w:ascii="Palatino Linotype" w:hAnsi="Palatino Linotype" w:cs="Arial"/>
          <w:i/>
          <w:sz w:val="22"/>
          <w:szCs w:val="22"/>
        </w:rPr>
      </w:pPr>
      <w:r w:rsidRPr="006B6503">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rsidR="000C7356" w:rsidRPr="006B6503" w:rsidRDefault="000C7356" w:rsidP="000C7356">
      <w:pPr>
        <w:ind w:left="851" w:right="851"/>
        <w:jc w:val="both"/>
        <w:rPr>
          <w:rFonts w:ascii="Palatino Linotype" w:hAnsi="Palatino Linotype" w:cs="Arial"/>
          <w:b/>
          <w:i/>
          <w:sz w:val="22"/>
          <w:szCs w:val="22"/>
        </w:rPr>
      </w:pPr>
      <w:r w:rsidRPr="006B6503">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6B6503">
        <w:rPr>
          <w:rFonts w:ascii="Palatino Linotype" w:hAnsi="Palatino Linotype" w:cs="Arial"/>
          <w:b/>
          <w:i/>
          <w:sz w:val="22"/>
          <w:szCs w:val="22"/>
        </w:rPr>
        <w:t>”</w:t>
      </w:r>
    </w:p>
    <w:p w:rsidR="000C7356" w:rsidRPr="006B6503" w:rsidRDefault="000C7356" w:rsidP="006D1961">
      <w:pPr>
        <w:spacing w:before="100" w:beforeAutospacing="1" w:after="100" w:afterAutospacing="1" w:line="360" w:lineRule="auto"/>
        <w:jc w:val="both"/>
        <w:rPr>
          <w:rFonts w:ascii="Palatino Linotype" w:hAnsi="Palatino Linotype"/>
        </w:rPr>
      </w:pPr>
      <w:r w:rsidRPr="006B6503">
        <w:rPr>
          <w:rFonts w:ascii="Palatino Linotype" w:hAnsi="Palatino Linotype"/>
        </w:rPr>
        <w:t xml:space="preserve">Igualmente, los </w:t>
      </w:r>
      <w:r w:rsidRPr="006B6503">
        <w:rPr>
          <w:rFonts w:ascii="Palatino Linotype" w:hAnsi="Palatino Linotype"/>
          <w:i/>
        </w:rPr>
        <w:t>Lineamientos Generales en Materia de Clasificación y Desclasificación de la Información, así como para la elaboración de Versiones Públicas</w:t>
      </w:r>
      <w:r w:rsidRPr="006B6503">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C7356" w:rsidRPr="006B6503" w:rsidRDefault="000C7356" w:rsidP="006D1961">
      <w:pPr>
        <w:spacing w:before="100" w:beforeAutospacing="1" w:after="100" w:afterAutospacing="1" w:line="360" w:lineRule="auto"/>
        <w:jc w:val="both"/>
        <w:rPr>
          <w:rFonts w:ascii="Palatino Linotype" w:hAnsi="Palatino Linotype"/>
        </w:rPr>
      </w:pPr>
      <w:r w:rsidRPr="006B6503">
        <w:rPr>
          <w:rFonts w:ascii="Palatino Linotype" w:hAnsi="Palatino Linotype"/>
        </w:rPr>
        <w:t>Entorno a lo que aquí nos interesa, los Lineamientos Quincuagésimo sexto, Quincuagésimo séptimo y Quincuagésimo octavo, establecen lo siguiente:</w:t>
      </w:r>
    </w:p>
    <w:p w:rsidR="000C7356" w:rsidRPr="006B6503" w:rsidRDefault="000C7356" w:rsidP="000C7356">
      <w:pPr>
        <w:widowControl w:val="0"/>
        <w:autoSpaceDE w:val="0"/>
        <w:autoSpaceDN w:val="0"/>
        <w:adjustRightInd w:val="0"/>
        <w:ind w:left="851" w:right="902"/>
        <w:jc w:val="both"/>
        <w:rPr>
          <w:rFonts w:ascii="Palatino Linotype" w:hAnsi="Palatino Linotype" w:cs="Arial"/>
          <w:i/>
          <w:sz w:val="22"/>
          <w:szCs w:val="22"/>
        </w:rPr>
      </w:pPr>
      <w:r w:rsidRPr="006B6503">
        <w:rPr>
          <w:rFonts w:ascii="Palatino Linotype" w:hAnsi="Palatino Linotype" w:cs="Arial"/>
          <w:b/>
          <w:i/>
          <w:sz w:val="22"/>
          <w:szCs w:val="22"/>
        </w:rPr>
        <w:t>“Quincuagésimo sexto.</w:t>
      </w:r>
      <w:r w:rsidRPr="006B6503">
        <w:rPr>
          <w:rFonts w:ascii="Palatino Linotype" w:hAnsi="Palatino Linotype" w:cs="Arial"/>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0C7356" w:rsidRPr="006B6503" w:rsidRDefault="000C7356" w:rsidP="000C7356">
      <w:pPr>
        <w:widowControl w:val="0"/>
        <w:autoSpaceDE w:val="0"/>
        <w:autoSpaceDN w:val="0"/>
        <w:adjustRightInd w:val="0"/>
        <w:ind w:left="851" w:right="902"/>
        <w:jc w:val="both"/>
        <w:rPr>
          <w:rFonts w:ascii="Palatino Linotype" w:hAnsi="Palatino Linotype" w:cs="Arial"/>
          <w:i/>
          <w:sz w:val="22"/>
          <w:szCs w:val="22"/>
        </w:rPr>
      </w:pPr>
      <w:r w:rsidRPr="006B6503">
        <w:rPr>
          <w:rFonts w:ascii="Palatino Linotype" w:hAnsi="Palatino Linotype" w:cs="Arial"/>
          <w:b/>
          <w:i/>
          <w:sz w:val="22"/>
          <w:szCs w:val="22"/>
        </w:rPr>
        <w:t>Quincuagésimo séptimo.</w:t>
      </w:r>
      <w:r w:rsidRPr="006B6503">
        <w:rPr>
          <w:rFonts w:ascii="Palatino Linotype" w:hAnsi="Palatino Linotype" w:cs="Arial"/>
          <w:i/>
          <w:sz w:val="22"/>
          <w:szCs w:val="22"/>
        </w:rPr>
        <w:t xml:space="preserve"> Se considera, en principio, como información pública y no podrá omitirse de las versiones públicas la siguiente: </w:t>
      </w:r>
    </w:p>
    <w:p w:rsidR="000C7356" w:rsidRPr="006B6503" w:rsidRDefault="000C7356" w:rsidP="000C7356">
      <w:pPr>
        <w:widowControl w:val="0"/>
        <w:autoSpaceDE w:val="0"/>
        <w:autoSpaceDN w:val="0"/>
        <w:adjustRightInd w:val="0"/>
        <w:ind w:left="851" w:right="902"/>
        <w:jc w:val="both"/>
        <w:rPr>
          <w:rFonts w:ascii="Palatino Linotype" w:hAnsi="Palatino Linotype" w:cs="Arial"/>
          <w:i/>
          <w:sz w:val="22"/>
          <w:szCs w:val="22"/>
        </w:rPr>
      </w:pPr>
      <w:r w:rsidRPr="006B6503">
        <w:rPr>
          <w:rFonts w:ascii="Palatino Linotype" w:hAnsi="Palatino Linotype" w:cs="Arial"/>
          <w:i/>
          <w:sz w:val="22"/>
          <w:szCs w:val="22"/>
        </w:rPr>
        <w:t xml:space="preserve">I. La relativa a las Obligaciones de Transparencia que contempla el Título V de la </w:t>
      </w:r>
      <w:r w:rsidRPr="006B6503">
        <w:rPr>
          <w:rFonts w:ascii="Palatino Linotype" w:hAnsi="Palatino Linotype" w:cs="Arial"/>
          <w:i/>
          <w:sz w:val="22"/>
          <w:szCs w:val="22"/>
        </w:rPr>
        <w:lastRenderedPageBreak/>
        <w:t xml:space="preserve">Ley General y las demás disposiciones legales aplicables; </w:t>
      </w:r>
    </w:p>
    <w:p w:rsidR="000C7356" w:rsidRPr="006B6503" w:rsidRDefault="000C7356" w:rsidP="000C7356">
      <w:pPr>
        <w:widowControl w:val="0"/>
        <w:autoSpaceDE w:val="0"/>
        <w:autoSpaceDN w:val="0"/>
        <w:adjustRightInd w:val="0"/>
        <w:ind w:left="851" w:right="902"/>
        <w:jc w:val="both"/>
        <w:rPr>
          <w:rFonts w:ascii="Palatino Linotype" w:hAnsi="Palatino Linotype" w:cs="Arial"/>
          <w:i/>
          <w:sz w:val="22"/>
          <w:szCs w:val="22"/>
        </w:rPr>
      </w:pPr>
      <w:r w:rsidRPr="006B6503">
        <w:rPr>
          <w:rFonts w:ascii="Palatino Linotype" w:hAnsi="Palatino Linotype" w:cs="Arial"/>
          <w:i/>
          <w:sz w:val="22"/>
          <w:szCs w:val="22"/>
        </w:rPr>
        <w:t xml:space="preserve">II. El nombre de los servidores públicos en los documentos, y sus firmas autógrafas, cuando sean utilizados en el ejercicio de las facultades conferidas para el desempeño del servicio público, y </w:t>
      </w:r>
    </w:p>
    <w:p w:rsidR="000C7356" w:rsidRPr="006B6503" w:rsidRDefault="000C7356" w:rsidP="000C7356">
      <w:pPr>
        <w:widowControl w:val="0"/>
        <w:autoSpaceDE w:val="0"/>
        <w:autoSpaceDN w:val="0"/>
        <w:adjustRightInd w:val="0"/>
        <w:ind w:left="851" w:right="902"/>
        <w:jc w:val="both"/>
        <w:rPr>
          <w:rFonts w:ascii="Palatino Linotype" w:hAnsi="Palatino Linotype" w:cs="Arial"/>
          <w:i/>
          <w:sz w:val="22"/>
          <w:szCs w:val="22"/>
        </w:rPr>
      </w:pPr>
      <w:r w:rsidRPr="006B6503">
        <w:rPr>
          <w:rFonts w:ascii="Palatino Linotype" w:hAnsi="Palatino Linotype" w:cs="Arial"/>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0C7356" w:rsidRPr="006B6503" w:rsidRDefault="000C7356" w:rsidP="000C7356">
      <w:pPr>
        <w:widowControl w:val="0"/>
        <w:autoSpaceDE w:val="0"/>
        <w:autoSpaceDN w:val="0"/>
        <w:adjustRightInd w:val="0"/>
        <w:ind w:left="851" w:right="902"/>
        <w:jc w:val="both"/>
        <w:rPr>
          <w:rFonts w:ascii="Palatino Linotype" w:hAnsi="Palatino Linotype" w:cs="Arial"/>
          <w:i/>
          <w:sz w:val="22"/>
          <w:szCs w:val="22"/>
        </w:rPr>
      </w:pPr>
      <w:r w:rsidRPr="006B6503">
        <w:rPr>
          <w:rFonts w:ascii="Palatino Linotype" w:hAnsi="Palatino Linotype" w:cs="Arial"/>
          <w:i/>
          <w:sz w:val="22"/>
          <w:szCs w:val="22"/>
        </w:rPr>
        <w:t xml:space="preserve">Lo anterior, siempre y cuando no se acredite alguna causal de clasificación, prevista en las leyes o en los tratados internaciones suscritos por el Estado mexicano. </w:t>
      </w:r>
    </w:p>
    <w:p w:rsidR="000C7356" w:rsidRPr="006B6503" w:rsidRDefault="000C7356" w:rsidP="000C7356">
      <w:pPr>
        <w:widowControl w:val="0"/>
        <w:autoSpaceDE w:val="0"/>
        <w:autoSpaceDN w:val="0"/>
        <w:adjustRightInd w:val="0"/>
        <w:ind w:left="851" w:right="902"/>
        <w:jc w:val="both"/>
        <w:rPr>
          <w:rFonts w:ascii="Palatino Linotype" w:hAnsi="Palatino Linotype" w:cs="Arial"/>
          <w:i/>
          <w:sz w:val="22"/>
          <w:szCs w:val="22"/>
        </w:rPr>
      </w:pPr>
      <w:r w:rsidRPr="006B6503">
        <w:rPr>
          <w:rFonts w:ascii="Palatino Linotype" w:hAnsi="Palatino Linotype" w:cs="Arial"/>
          <w:b/>
          <w:i/>
          <w:sz w:val="22"/>
          <w:szCs w:val="22"/>
        </w:rPr>
        <w:t>Quincuagésimo octavo.</w:t>
      </w:r>
      <w:r w:rsidRPr="006B6503">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r w:rsidRPr="006B6503">
        <w:rPr>
          <w:rFonts w:ascii="Palatino Linotype" w:hAnsi="Palatino Linotype" w:cs="Arial"/>
          <w:b/>
          <w:i/>
          <w:sz w:val="22"/>
          <w:szCs w:val="22"/>
        </w:rPr>
        <w:t>”</w:t>
      </w:r>
      <w:r w:rsidRPr="006B6503">
        <w:rPr>
          <w:rFonts w:ascii="Palatino Linotype" w:hAnsi="Palatino Linotype" w:cs="Arial"/>
          <w:i/>
          <w:sz w:val="22"/>
          <w:szCs w:val="22"/>
        </w:rPr>
        <w:t xml:space="preserve"> (</w:t>
      </w:r>
      <w:proofErr w:type="gramStart"/>
      <w:r w:rsidRPr="006B6503">
        <w:rPr>
          <w:rFonts w:ascii="Palatino Linotype" w:hAnsi="Palatino Linotype" w:cs="Arial"/>
          <w:i/>
          <w:sz w:val="22"/>
          <w:szCs w:val="22"/>
        </w:rPr>
        <w:t>sic</w:t>
      </w:r>
      <w:proofErr w:type="gramEnd"/>
      <w:r w:rsidRPr="006B6503">
        <w:rPr>
          <w:rFonts w:ascii="Palatino Linotype" w:hAnsi="Palatino Linotype" w:cs="Arial"/>
          <w:i/>
          <w:sz w:val="22"/>
          <w:szCs w:val="22"/>
        </w:rPr>
        <w:t>)</w:t>
      </w:r>
    </w:p>
    <w:p w:rsidR="000C7356" w:rsidRPr="006B6503" w:rsidRDefault="000C7356" w:rsidP="006D1961">
      <w:pPr>
        <w:spacing w:before="100" w:beforeAutospacing="1" w:after="100" w:afterAutospacing="1" w:line="360" w:lineRule="auto"/>
        <w:jc w:val="both"/>
        <w:rPr>
          <w:rFonts w:ascii="Palatino Linotype" w:hAnsi="Palatino Linotype" w:cs="Arial"/>
          <w:lang w:val="es-ES_tradnl"/>
        </w:rPr>
      </w:pPr>
      <w:r w:rsidRPr="006B6503">
        <w:rPr>
          <w:rFonts w:ascii="Palatino Linotype" w:hAnsi="Palatino Linotype" w:cs="Arial"/>
          <w:lang w:eastAsia="es-MX"/>
        </w:rPr>
        <w:t xml:space="preserve">De lo anterior, la entrega de la información </w:t>
      </w:r>
      <w:r w:rsidRPr="006B6503">
        <w:rPr>
          <w:rFonts w:ascii="Palatino Linotype" w:hAnsi="Palatino Linotype" w:cs="Arial"/>
          <w:color w:val="000000" w:themeColor="text1"/>
        </w:rPr>
        <w:t xml:space="preserve">en </w:t>
      </w:r>
      <w:r w:rsidRPr="006B6503">
        <w:rPr>
          <w:rFonts w:ascii="Palatino Linotype" w:hAnsi="Palatino Linotype" w:cs="Arial"/>
          <w:b/>
          <w:color w:val="000000" w:themeColor="text1"/>
        </w:rPr>
        <w:t>versión pública</w:t>
      </w:r>
      <w:r w:rsidRPr="006B6503">
        <w:rPr>
          <w:rFonts w:ascii="Palatino Linotype" w:hAnsi="Palatino Linotype" w:cs="Arial"/>
          <w:color w:val="000000" w:themeColor="text1"/>
        </w:rPr>
        <w:t xml:space="preserve">, </w:t>
      </w:r>
      <w:r w:rsidR="006D1961" w:rsidRPr="006B6503">
        <w:rPr>
          <w:rFonts w:ascii="Palatino Linotype" w:hAnsi="Palatino Linotype" w:cs="Arial"/>
          <w:color w:val="000000" w:themeColor="text1"/>
        </w:rPr>
        <w:t xml:space="preserve">deberá </w:t>
      </w:r>
      <w:r w:rsidRPr="006B6503">
        <w:rPr>
          <w:rFonts w:ascii="Palatino Linotype" w:hAnsi="Palatino Linotype" w:cs="Arial"/>
          <w:color w:val="000000"/>
        </w:rPr>
        <w:t>acompaña</w:t>
      </w:r>
      <w:r w:rsidR="006D1961" w:rsidRPr="006B6503">
        <w:rPr>
          <w:rFonts w:ascii="Palatino Linotype" w:hAnsi="Palatino Linotype" w:cs="Arial"/>
          <w:color w:val="000000"/>
        </w:rPr>
        <w:t>rse de</w:t>
      </w:r>
      <w:r w:rsidRPr="006B6503">
        <w:rPr>
          <w:rFonts w:ascii="Palatino Linotype" w:hAnsi="Palatino Linotype" w:cs="Arial"/>
          <w:color w:val="000000"/>
        </w:rPr>
        <w:t xml:space="preserve">l Acuerdo respectivo </w:t>
      </w:r>
      <w:r w:rsidR="006D1961" w:rsidRPr="006B6503">
        <w:rPr>
          <w:rFonts w:ascii="Palatino Linotype" w:hAnsi="Palatino Linotype" w:cs="Arial"/>
          <w:color w:val="000000"/>
        </w:rPr>
        <w:t>emitido por el Comi</w:t>
      </w:r>
      <w:r w:rsidRPr="006B6503">
        <w:rPr>
          <w:rFonts w:ascii="Palatino Linotype" w:hAnsi="Palatino Linotype" w:cs="Arial"/>
          <w:color w:val="000000"/>
        </w:rPr>
        <w:t xml:space="preserve">té de Transparencia, cumpliendo </w:t>
      </w:r>
      <w:r w:rsidRPr="006B6503">
        <w:rPr>
          <w:rFonts w:ascii="Palatino Linotype" w:hAnsi="Palatino Linotype" w:cs="Arial"/>
          <w:lang w:val="es-ES_tradnl"/>
        </w:rPr>
        <w:t>con las formalidades previstas en los artículos 3, fracción XLV, 49</w:t>
      </w:r>
      <w:r w:rsidR="003E709A">
        <w:rPr>
          <w:rFonts w:ascii="Palatino Linotype" w:hAnsi="Palatino Linotype" w:cs="Arial"/>
          <w:lang w:val="es-ES_tradnl"/>
        </w:rPr>
        <w:t>,</w:t>
      </w:r>
      <w:r w:rsidRPr="006B6503">
        <w:rPr>
          <w:rFonts w:ascii="Palatino Linotype" w:hAnsi="Palatino Linotype" w:cs="Arial"/>
          <w:lang w:val="es-ES_tradnl"/>
        </w:rPr>
        <w:t xml:space="preserve"> fracción VIII, 132</w:t>
      </w:r>
      <w:r w:rsidR="003E709A">
        <w:rPr>
          <w:rFonts w:ascii="Palatino Linotype" w:hAnsi="Palatino Linotype" w:cs="Arial"/>
          <w:lang w:val="es-ES_tradnl"/>
        </w:rPr>
        <w:t>,</w:t>
      </w:r>
      <w:r w:rsidRPr="006B6503">
        <w:rPr>
          <w:rFonts w:ascii="Palatino Linotype" w:hAnsi="Palatino Linotype" w:cs="Arial"/>
          <w:lang w:val="es-ES_tradnl"/>
        </w:rPr>
        <w:t xml:space="preserve">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a continuación se citan:</w:t>
      </w:r>
    </w:p>
    <w:p w:rsidR="000C7356" w:rsidRPr="006B6503" w:rsidRDefault="000C7356" w:rsidP="000C7356">
      <w:pPr>
        <w:tabs>
          <w:tab w:val="left" w:pos="8222"/>
        </w:tabs>
        <w:ind w:left="851" w:right="899"/>
        <w:jc w:val="both"/>
        <w:rPr>
          <w:rFonts w:ascii="Palatino Linotype" w:hAnsi="Palatino Linotype" w:cs="Arial"/>
          <w:i/>
          <w:sz w:val="22"/>
          <w:lang w:val="es-ES_tradnl"/>
        </w:rPr>
      </w:pPr>
      <w:r w:rsidRPr="006B6503">
        <w:rPr>
          <w:rFonts w:ascii="Palatino Linotype" w:hAnsi="Palatino Linotype" w:cs="Arial"/>
          <w:i/>
          <w:sz w:val="22"/>
          <w:lang w:val="es-ES_tradnl"/>
        </w:rPr>
        <w:t>“</w:t>
      </w:r>
      <w:r w:rsidRPr="006B6503">
        <w:rPr>
          <w:rFonts w:ascii="Palatino Linotype" w:hAnsi="Palatino Linotype" w:cs="Arial"/>
          <w:b/>
          <w:i/>
          <w:sz w:val="22"/>
          <w:lang w:val="es-ES_tradnl"/>
        </w:rPr>
        <w:t>Artículo 3</w:t>
      </w:r>
      <w:r w:rsidRPr="006B6503">
        <w:rPr>
          <w:rFonts w:ascii="Palatino Linotype" w:hAnsi="Palatino Linotype" w:cs="Arial"/>
          <w:i/>
          <w:sz w:val="22"/>
          <w:lang w:val="es-ES_tradnl"/>
        </w:rPr>
        <w:t>. Para los efectos de la presente Ley se entenderá por:</w:t>
      </w:r>
    </w:p>
    <w:p w:rsidR="000C7356" w:rsidRPr="006B6503" w:rsidRDefault="000C7356" w:rsidP="000C7356">
      <w:pPr>
        <w:tabs>
          <w:tab w:val="left" w:pos="8222"/>
        </w:tabs>
        <w:ind w:left="851" w:right="899"/>
        <w:jc w:val="both"/>
        <w:rPr>
          <w:rFonts w:ascii="Palatino Linotype" w:hAnsi="Palatino Linotype" w:cs="Arial"/>
          <w:i/>
          <w:sz w:val="22"/>
          <w:lang w:val="es-ES_tradnl"/>
        </w:rPr>
      </w:pPr>
      <w:r w:rsidRPr="006B6503">
        <w:rPr>
          <w:rFonts w:ascii="Palatino Linotype" w:hAnsi="Palatino Linotype" w:cs="Arial"/>
          <w:i/>
          <w:sz w:val="22"/>
          <w:lang w:val="es-ES_tradnl"/>
        </w:rPr>
        <w:t>. . .</w:t>
      </w:r>
    </w:p>
    <w:p w:rsidR="000C7356" w:rsidRPr="006B6503" w:rsidRDefault="000C7356" w:rsidP="000C7356">
      <w:pPr>
        <w:tabs>
          <w:tab w:val="left" w:pos="8222"/>
        </w:tabs>
        <w:ind w:left="851" w:right="899"/>
        <w:jc w:val="both"/>
        <w:rPr>
          <w:rFonts w:ascii="Palatino Linotype" w:hAnsi="Palatino Linotype" w:cs="Arial"/>
          <w:i/>
          <w:sz w:val="22"/>
          <w:lang w:val="es-ES_tradnl"/>
        </w:rPr>
      </w:pPr>
      <w:r w:rsidRPr="006B6503">
        <w:rPr>
          <w:rFonts w:ascii="Palatino Linotype" w:hAnsi="Palatino Linotype" w:cs="Arial"/>
          <w:i/>
          <w:sz w:val="22"/>
          <w:lang w:val="es-ES_tradnl"/>
        </w:rPr>
        <w:t>XLV. Versión pública: Documento en el que se elimine, suprime o borra la información clasificada como reservada o confidencial para permitir su acceso.</w:t>
      </w:r>
    </w:p>
    <w:p w:rsidR="000C7356" w:rsidRPr="006B6503" w:rsidRDefault="000C7356" w:rsidP="000C7356">
      <w:pPr>
        <w:tabs>
          <w:tab w:val="left" w:pos="8222"/>
        </w:tabs>
        <w:ind w:left="851" w:right="899"/>
        <w:jc w:val="both"/>
        <w:rPr>
          <w:rFonts w:ascii="Palatino Linotype" w:hAnsi="Palatino Linotype" w:cs="Arial"/>
          <w:i/>
          <w:sz w:val="22"/>
          <w:lang w:val="es-ES_tradnl"/>
        </w:rPr>
      </w:pPr>
      <w:r w:rsidRPr="006B6503">
        <w:rPr>
          <w:rFonts w:ascii="Palatino Linotype" w:hAnsi="Palatino Linotype" w:cs="Arial"/>
          <w:b/>
          <w:i/>
          <w:sz w:val="22"/>
          <w:lang w:val="es-ES_tradnl"/>
        </w:rPr>
        <w:t>Artículo 49.</w:t>
      </w:r>
      <w:r w:rsidRPr="006B6503">
        <w:rPr>
          <w:rFonts w:ascii="Palatino Linotype" w:hAnsi="Palatino Linotype" w:cs="Arial"/>
          <w:i/>
          <w:sz w:val="22"/>
          <w:lang w:val="es-ES_tradnl"/>
        </w:rPr>
        <w:t xml:space="preserve"> Los Comités de Transparencia tendrán las siguientes atribuciones:</w:t>
      </w:r>
    </w:p>
    <w:p w:rsidR="000C7356" w:rsidRPr="006B6503" w:rsidRDefault="000C7356" w:rsidP="000C7356">
      <w:pPr>
        <w:tabs>
          <w:tab w:val="left" w:pos="8222"/>
        </w:tabs>
        <w:ind w:left="851" w:right="899"/>
        <w:jc w:val="both"/>
        <w:rPr>
          <w:rFonts w:ascii="Palatino Linotype" w:hAnsi="Palatino Linotype" w:cs="Arial"/>
          <w:i/>
          <w:sz w:val="22"/>
          <w:lang w:val="es-ES_tradnl"/>
        </w:rPr>
      </w:pPr>
      <w:r w:rsidRPr="006B6503">
        <w:rPr>
          <w:rFonts w:ascii="Palatino Linotype" w:hAnsi="Palatino Linotype" w:cs="Arial"/>
          <w:i/>
          <w:sz w:val="22"/>
          <w:lang w:val="es-ES_tradnl"/>
        </w:rPr>
        <w:t>VIII. Aprobar, modificar o revocar la clasificación de la información;</w:t>
      </w:r>
    </w:p>
    <w:p w:rsidR="000C7356" w:rsidRPr="006B6503" w:rsidRDefault="000C7356" w:rsidP="000C7356">
      <w:pPr>
        <w:tabs>
          <w:tab w:val="left" w:pos="8222"/>
        </w:tabs>
        <w:ind w:left="851" w:right="899"/>
        <w:jc w:val="both"/>
        <w:rPr>
          <w:rFonts w:ascii="Palatino Linotype" w:hAnsi="Palatino Linotype" w:cs="Arial"/>
          <w:i/>
          <w:sz w:val="22"/>
          <w:lang w:val="es-ES_tradnl"/>
        </w:rPr>
      </w:pPr>
      <w:r w:rsidRPr="006B6503">
        <w:rPr>
          <w:rFonts w:ascii="Palatino Linotype" w:hAnsi="Palatino Linotype" w:cs="Arial"/>
          <w:b/>
          <w:i/>
          <w:sz w:val="22"/>
          <w:lang w:val="es-ES_tradnl"/>
        </w:rPr>
        <w:t>Artículo 132.</w:t>
      </w:r>
      <w:r w:rsidRPr="006B6503">
        <w:rPr>
          <w:rFonts w:ascii="Palatino Linotype" w:hAnsi="Palatino Linotype" w:cs="Arial"/>
          <w:i/>
          <w:sz w:val="22"/>
          <w:lang w:val="es-ES_tradnl"/>
        </w:rPr>
        <w:t xml:space="preserve"> La clasificación de la información se llevará a cabo en el momento en que:</w:t>
      </w:r>
    </w:p>
    <w:p w:rsidR="000C7356" w:rsidRPr="006B6503" w:rsidRDefault="000C7356" w:rsidP="000C7356">
      <w:pPr>
        <w:tabs>
          <w:tab w:val="left" w:pos="8222"/>
        </w:tabs>
        <w:ind w:left="851" w:right="899"/>
        <w:jc w:val="both"/>
        <w:rPr>
          <w:rFonts w:ascii="Palatino Linotype" w:hAnsi="Palatino Linotype" w:cs="Arial"/>
          <w:i/>
          <w:sz w:val="22"/>
          <w:lang w:val="es-ES_tradnl"/>
        </w:rPr>
      </w:pPr>
      <w:r w:rsidRPr="006B6503">
        <w:rPr>
          <w:rFonts w:ascii="Palatino Linotype" w:hAnsi="Palatino Linotype" w:cs="Arial"/>
          <w:i/>
          <w:sz w:val="22"/>
          <w:lang w:val="es-ES_tradnl"/>
        </w:rPr>
        <w:t>II. Se determine mediante resolución de autoridad competente; o</w:t>
      </w:r>
    </w:p>
    <w:p w:rsidR="000C7356" w:rsidRPr="006B6503" w:rsidRDefault="000C7356" w:rsidP="000C7356">
      <w:pPr>
        <w:tabs>
          <w:tab w:val="left" w:pos="8222"/>
        </w:tabs>
        <w:ind w:left="851" w:right="899"/>
        <w:jc w:val="both"/>
        <w:rPr>
          <w:rFonts w:ascii="Palatino Linotype" w:hAnsi="Palatino Linotype" w:cs="Arial"/>
          <w:i/>
          <w:sz w:val="22"/>
          <w:lang w:val="es-ES_tradnl"/>
        </w:rPr>
      </w:pPr>
      <w:r w:rsidRPr="006B6503">
        <w:rPr>
          <w:rFonts w:ascii="Palatino Linotype" w:hAnsi="Palatino Linotype" w:cs="Arial"/>
          <w:i/>
          <w:sz w:val="22"/>
          <w:lang w:val="es-ES_tradnl"/>
        </w:rPr>
        <w:lastRenderedPageBreak/>
        <w:t>III. Se generen versiones públicas para dar cumplimiento a las obligaciones de transparencia previstas en esta Ley.</w:t>
      </w:r>
    </w:p>
    <w:p w:rsidR="000C7356" w:rsidRPr="006B6503" w:rsidRDefault="000C7356" w:rsidP="000C7356">
      <w:pPr>
        <w:tabs>
          <w:tab w:val="left" w:pos="8222"/>
        </w:tabs>
        <w:ind w:left="851" w:right="899"/>
        <w:jc w:val="both"/>
        <w:rPr>
          <w:rFonts w:ascii="Palatino Linotype" w:hAnsi="Palatino Linotype" w:cs="Arial"/>
          <w:i/>
          <w:sz w:val="22"/>
          <w:lang w:val="es-ES_tradnl"/>
        </w:rPr>
      </w:pPr>
      <w:r w:rsidRPr="006B6503">
        <w:rPr>
          <w:rFonts w:ascii="Palatino Linotype" w:hAnsi="Palatino Linotype" w:cs="Arial"/>
          <w:b/>
          <w:i/>
          <w:sz w:val="22"/>
          <w:lang w:val="es-ES_tradnl"/>
        </w:rPr>
        <w:t>Artículo 137.</w:t>
      </w:r>
      <w:r w:rsidRPr="006B6503">
        <w:rPr>
          <w:rFonts w:ascii="Palatino Linotype" w:hAnsi="Palatino Linotype" w:cs="Arial"/>
          <w:i/>
          <w:sz w:val="22"/>
          <w:lang w:val="es-ES_tradnl"/>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C7356" w:rsidRPr="006B6503" w:rsidRDefault="000C7356" w:rsidP="000C7356">
      <w:pPr>
        <w:tabs>
          <w:tab w:val="left" w:pos="8222"/>
        </w:tabs>
        <w:ind w:left="851" w:right="899"/>
        <w:jc w:val="both"/>
        <w:rPr>
          <w:rFonts w:ascii="Palatino Linotype" w:hAnsi="Palatino Linotype" w:cs="Arial"/>
          <w:i/>
          <w:sz w:val="22"/>
          <w:lang w:val="es-ES_tradnl"/>
        </w:rPr>
      </w:pPr>
      <w:r w:rsidRPr="006B6503">
        <w:rPr>
          <w:rFonts w:ascii="Palatino Linotype" w:hAnsi="Palatino Linotype" w:cs="Arial"/>
          <w:b/>
          <w:i/>
          <w:sz w:val="22"/>
          <w:lang w:val="es-ES_tradnl"/>
        </w:rPr>
        <w:t>Artículo 149.</w:t>
      </w:r>
      <w:r w:rsidRPr="006B6503">
        <w:rPr>
          <w:rFonts w:ascii="Palatino Linotype" w:hAnsi="Palatino Linotype" w:cs="Arial"/>
          <w:i/>
          <w:sz w:val="22"/>
          <w:lang w:val="es-ES_tradnl"/>
        </w:rPr>
        <w:t xml:space="preserve"> El acuerdo que clasifique la información como confidencial deberá contener un razonamiento lógico en el que demuestre que la información se encuentra en alguna o algunas de las hipótesis previstas en la presente Ley.</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b/>
          <w:i/>
          <w:sz w:val="22"/>
          <w:lang w:eastAsia="es-MX"/>
        </w:rPr>
        <w:t>Segundo.-</w:t>
      </w:r>
      <w:r w:rsidRPr="006B6503">
        <w:rPr>
          <w:rFonts w:ascii="Palatino Linotype" w:hAnsi="Palatino Linotype" w:cs="Arial"/>
          <w:i/>
          <w:sz w:val="22"/>
          <w:lang w:eastAsia="es-MX"/>
        </w:rPr>
        <w:t xml:space="preserve"> Para efectos de los presentes Lineamientos Generales, se entenderá por:</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b/>
          <w:i/>
          <w:sz w:val="22"/>
          <w:lang w:eastAsia="es-MX"/>
        </w:rPr>
        <w:t>XVIII.</w:t>
      </w:r>
      <w:r w:rsidRPr="006B6503">
        <w:rPr>
          <w:rFonts w:ascii="Palatino Linotype" w:hAnsi="Palatino Linotype" w:cs="Arial"/>
          <w:i/>
          <w:sz w:val="22"/>
          <w:lang w:eastAsia="es-MX"/>
        </w:rPr>
        <w:t xml:space="preserve"> </w:t>
      </w:r>
      <w:r w:rsidRPr="006B6503">
        <w:rPr>
          <w:rFonts w:ascii="Palatino Linotype" w:hAnsi="Palatino Linotype" w:cs="Arial"/>
          <w:b/>
          <w:i/>
          <w:sz w:val="22"/>
          <w:lang w:eastAsia="es-MX"/>
        </w:rPr>
        <w:t>Versión pública:</w:t>
      </w:r>
      <w:r w:rsidRPr="006B6503">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b/>
          <w:i/>
          <w:sz w:val="22"/>
          <w:lang w:eastAsia="es-MX"/>
        </w:rPr>
        <w:t>Cuarto.</w:t>
      </w:r>
      <w:r w:rsidRPr="006B6503">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b/>
          <w:i/>
          <w:sz w:val="22"/>
          <w:lang w:eastAsia="es-MX"/>
        </w:rPr>
        <w:t>Quinto.</w:t>
      </w:r>
      <w:r w:rsidRPr="006B6503">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b/>
          <w:i/>
          <w:sz w:val="22"/>
          <w:lang w:eastAsia="es-MX"/>
        </w:rPr>
        <w:t>Sexto.</w:t>
      </w:r>
      <w:r w:rsidRPr="006B6503">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b/>
          <w:i/>
          <w:sz w:val="22"/>
          <w:lang w:eastAsia="es-MX"/>
        </w:rPr>
        <w:t>Séptimo.</w:t>
      </w:r>
      <w:r w:rsidRPr="006B6503">
        <w:rPr>
          <w:rFonts w:ascii="Palatino Linotype" w:hAnsi="Palatino Linotype" w:cs="Arial"/>
          <w:i/>
          <w:sz w:val="22"/>
          <w:lang w:eastAsia="es-MX"/>
        </w:rPr>
        <w:t xml:space="preserve"> La clasificación de la información se llevará a cabo en el momento en que:</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b/>
          <w:i/>
          <w:sz w:val="22"/>
          <w:lang w:eastAsia="es-MX"/>
        </w:rPr>
        <w:lastRenderedPageBreak/>
        <w:t>I.</w:t>
      </w:r>
      <w:r w:rsidRPr="006B6503">
        <w:rPr>
          <w:rFonts w:ascii="Palatino Linotype" w:hAnsi="Palatino Linotype" w:cs="Arial"/>
          <w:i/>
          <w:sz w:val="22"/>
          <w:lang w:eastAsia="es-MX"/>
        </w:rPr>
        <w:t xml:space="preserve"> Se reciba una solicitud de acceso a la información;</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b/>
          <w:i/>
          <w:sz w:val="22"/>
          <w:lang w:eastAsia="es-MX"/>
        </w:rPr>
        <w:t>II.</w:t>
      </w:r>
      <w:r w:rsidRPr="006B6503">
        <w:rPr>
          <w:rFonts w:ascii="Palatino Linotype" w:hAnsi="Palatino Linotype" w:cs="Arial"/>
          <w:i/>
          <w:sz w:val="22"/>
          <w:lang w:eastAsia="es-MX"/>
        </w:rPr>
        <w:t xml:space="preserve"> Se determine mediante resolución de autoridad competente, o</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b/>
          <w:i/>
          <w:sz w:val="22"/>
          <w:lang w:eastAsia="es-MX"/>
        </w:rPr>
        <w:t>III.</w:t>
      </w:r>
      <w:r w:rsidRPr="006B6503">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b/>
          <w:i/>
          <w:sz w:val="22"/>
          <w:lang w:eastAsia="es-MX"/>
        </w:rPr>
        <w:t>Octavo.</w:t>
      </w:r>
      <w:r w:rsidRPr="006B6503">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b/>
          <w:i/>
          <w:sz w:val="22"/>
          <w:lang w:eastAsia="es-MX"/>
        </w:rPr>
        <w:t>Noveno.</w:t>
      </w:r>
      <w:r w:rsidRPr="006B6503">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b/>
          <w:i/>
          <w:sz w:val="22"/>
          <w:lang w:eastAsia="es-MX"/>
        </w:rPr>
        <w:t>Décimo.</w:t>
      </w:r>
      <w:r w:rsidRPr="006B6503">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C7356" w:rsidRPr="006B6503" w:rsidRDefault="000C7356" w:rsidP="000C7356">
      <w:pPr>
        <w:tabs>
          <w:tab w:val="left" w:pos="8222"/>
        </w:tabs>
        <w:ind w:left="851" w:right="899"/>
        <w:jc w:val="both"/>
        <w:rPr>
          <w:rFonts w:ascii="Palatino Linotype" w:hAnsi="Palatino Linotype" w:cs="Arial"/>
          <w:i/>
          <w:sz w:val="22"/>
          <w:lang w:eastAsia="es-MX"/>
        </w:rPr>
      </w:pPr>
      <w:r w:rsidRPr="006B6503">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rsidR="000C7356" w:rsidRPr="006B6503" w:rsidRDefault="000C7356" w:rsidP="000C7356">
      <w:pPr>
        <w:tabs>
          <w:tab w:val="left" w:pos="8222"/>
        </w:tabs>
        <w:ind w:left="851" w:right="899"/>
        <w:jc w:val="both"/>
        <w:rPr>
          <w:rFonts w:ascii="Palatino Linotype" w:hAnsi="Palatino Linotype" w:cs="Arial"/>
          <w:b/>
          <w:i/>
          <w:sz w:val="22"/>
          <w:lang w:eastAsia="es-MX"/>
        </w:rPr>
      </w:pPr>
      <w:r w:rsidRPr="006B6503">
        <w:rPr>
          <w:rFonts w:ascii="Palatino Linotype" w:hAnsi="Palatino Linotype" w:cs="Arial"/>
          <w:b/>
          <w:i/>
          <w:sz w:val="22"/>
          <w:lang w:eastAsia="es-MX"/>
        </w:rPr>
        <w:lastRenderedPageBreak/>
        <w:t>Décimo primero.</w:t>
      </w:r>
      <w:r w:rsidRPr="006B6503">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B6503">
        <w:rPr>
          <w:rFonts w:ascii="Palatino Linotype" w:hAnsi="Palatino Linotype" w:cs="Arial"/>
          <w:b/>
          <w:i/>
          <w:sz w:val="22"/>
          <w:lang w:eastAsia="es-MX"/>
        </w:rPr>
        <w:t>”</w:t>
      </w:r>
    </w:p>
    <w:p w:rsidR="000C7356" w:rsidRPr="006B6503" w:rsidRDefault="000C7356" w:rsidP="006D1961">
      <w:pPr>
        <w:spacing w:before="100" w:beforeAutospacing="1" w:after="100" w:afterAutospacing="1" w:line="360" w:lineRule="auto"/>
        <w:ind w:right="51"/>
        <w:jc w:val="both"/>
        <w:rPr>
          <w:rFonts w:ascii="Palatino Linotype" w:hAnsi="Palatino Linotype" w:cs="Arial"/>
          <w:lang w:val="es-ES_tradnl"/>
        </w:rPr>
      </w:pPr>
      <w:r w:rsidRPr="006B6503">
        <w:rPr>
          <w:rFonts w:ascii="Palatino Linotype" w:hAnsi="Palatino Linotype" w:cs="Arial"/>
          <w:lang w:val="es-ES_tradnl"/>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w:t>
      </w:r>
    </w:p>
    <w:p w:rsidR="003E709A" w:rsidRPr="006B6503" w:rsidRDefault="000C7356" w:rsidP="000C7356">
      <w:pPr>
        <w:spacing w:line="360" w:lineRule="auto"/>
        <w:ind w:right="49"/>
        <w:jc w:val="both"/>
        <w:rPr>
          <w:rFonts w:ascii="Palatino Linotype" w:hAnsi="Palatino Linotype" w:cs="Arial"/>
          <w:lang w:val="es-ES_tradnl"/>
        </w:rPr>
      </w:pPr>
      <w:r w:rsidRPr="006B6503">
        <w:rPr>
          <w:rFonts w:ascii="Palatino Linotype" w:hAnsi="Palatino Linotype" w:cs="Arial"/>
          <w:lang w:val="es-ES_tradnl"/>
        </w:rPr>
        <w:t xml:space="preserve">Por lo tanto, la entrega de documentos, en su </w:t>
      </w:r>
      <w:r w:rsidRPr="006B6503">
        <w:rPr>
          <w:rFonts w:ascii="Palatino Linotype" w:hAnsi="Palatino Linotype" w:cs="Arial"/>
          <w:b/>
          <w:lang w:val="es-ES_tradnl"/>
        </w:rPr>
        <w:t>versión pública</w:t>
      </w:r>
      <w:r w:rsidRPr="006B6503">
        <w:rPr>
          <w:rFonts w:ascii="Palatino Linotype" w:hAnsi="Palatino Linotype" w:cs="Arial"/>
          <w:lang w:val="es-ES_tradnl"/>
        </w:rPr>
        <w:t xml:space="preserve">, debe acompañarse necesariamente del Acuerdo del Comité de Transparencia que la sustente, en el que se expongan los fundamentos y razonamientos que llevaron al </w:t>
      </w:r>
      <w:r w:rsidRPr="006B6503">
        <w:rPr>
          <w:rFonts w:ascii="Palatino Linotype" w:hAnsi="Palatino Linotype" w:cs="Arial"/>
          <w:b/>
          <w:lang w:val="es-ES_tradnl"/>
        </w:rPr>
        <w:t>SUJETO OBLIGADO</w:t>
      </w:r>
      <w:r w:rsidRPr="006B6503">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r w:rsidR="003E709A">
        <w:rPr>
          <w:rFonts w:ascii="Palatino Linotype" w:hAnsi="Palatino Linotype" w:cs="Arial"/>
          <w:lang w:val="es-ES_tradnl"/>
        </w:rPr>
        <w:t xml:space="preserve"> Así, la Ponencia Resolutora debió precisar en el estudio cuales son los datos susceptibles de clasificación para otorgar certeza jurídica de la información que no debe hacerse pública.</w:t>
      </w:r>
    </w:p>
    <w:p w:rsidR="006D1961" w:rsidRPr="006B6503" w:rsidRDefault="006D1961" w:rsidP="006D1961">
      <w:pPr>
        <w:spacing w:before="100" w:beforeAutospacing="1" w:after="100" w:afterAutospacing="1" w:line="360" w:lineRule="auto"/>
        <w:jc w:val="both"/>
        <w:rPr>
          <w:rFonts w:ascii="Palatino Linotype" w:hAnsi="Palatino Linotype" w:cs="Arial"/>
        </w:rPr>
      </w:pPr>
      <w:r w:rsidRPr="006B6503">
        <w:rPr>
          <w:rFonts w:ascii="Palatino Linotype" w:hAnsi="Palatino Linotype" w:cs="Arial"/>
        </w:rPr>
        <w:lastRenderedPageBreak/>
        <w:t xml:space="preserve">Ahora bien, al no haber dado respuesta </w:t>
      </w:r>
      <w:r w:rsidRPr="006B6503">
        <w:rPr>
          <w:rFonts w:ascii="Palatino Linotype" w:hAnsi="Palatino Linotype" w:cs="Arial"/>
          <w:b/>
        </w:rPr>
        <w:t xml:space="preserve">EL SUJETO OBLIGADO </w:t>
      </w:r>
      <w:r w:rsidRPr="006B6503">
        <w:rPr>
          <w:rFonts w:ascii="Palatino Linotype" w:hAnsi="Palatino Linotype" w:cs="Arial"/>
        </w:rPr>
        <w:t xml:space="preserve">a la solicitud de información que le fue planteada, la Ponencia Resolutora determinó que al vulnerar el Derecho de Acceso a la Información Pública del </w:t>
      </w:r>
      <w:r w:rsidRPr="006B6503">
        <w:rPr>
          <w:rFonts w:ascii="Palatino Linotype" w:hAnsi="Palatino Linotype" w:cs="Arial"/>
          <w:b/>
        </w:rPr>
        <w:t xml:space="preserve">RECURRENTE </w:t>
      </w:r>
      <w:r w:rsidRPr="006B6503">
        <w:rPr>
          <w:rFonts w:ascii="Palatino Linotype" w:hAnsi="Palatino Linotype" w:cs="Arial"/>
        </w:rPr>
        <w:t>lo procedente era dar vista al Órgano de Control y Vigilancia con fundamento en los artículos 190 y 222 de la Ley de la materia.</w:t>
      </w:r>
    </w:p>
    <w:p w:rsidR="006D1961" w:rsidRPr="006B6503" w:rsidRDefault="006D1961" w:rsidP="006D1961">
      <w:pPr>
        <w:spacing w:before="100" w:beforeAutospacing="1" w:after="100" w:afterAutospacing="1" w:line="360" w:lineRule="auto"/>
        <w:jc w:val="both"/>
        <w:rPr>
          <w:rFonts w:ascii="Palatino Linotype" w:hAnsi="Palatino Linotype" w:cs="Arial"/>
        </w:rPr>
      </w:pPr>
      <w:r w:rsidRPr="006B6503">
        <w:rPr>
          <w:rFonts w:ascii="Palatino Linotype" w:hAnsi="Palatino Linotype" w:cs="Arial"/>
        </w:rPr>
        <w:t xml:space="preserve">Lo anterior es así, en razón de que, </w:t>
      </w:r>
      <w:r w:rsidRPr="006B6503">
        <w:rPr>
          <w:rFonts w:ascii="Palatino Linotype" w:hAnsi="Palatino Linotype" w:cs="Arial"/>
          <w:b/>
        </w:rPr>
        <w:t>EL SUJETO OBLIGADO</w:t>
      </w:r>
      <w:r w:rsidRPr="006B6503">
        <w:rPr>
          <w:rFonts w:ascii="Palatino Linotype" w:hAnsi="Palatino Linotype" w:cs="Arial"/>
        </w:rPr>
        <w:t xml:space="preserve"> debió dar respuesta a la solicitud de información pública presentada por el particular dentro del término previsto en el artículo 163 de la Ley de Transparencia que a la letra dice:</w:t>
      </w:r>
    </w:p>
    <w:p w:rsidR="006D1961" w:rsidRPr="006B6503" w:rsidRDefault="006D1961" w:rsidP="006B6503">
      <w:pPr>
        <w:ind w:left="851" w:right="902"/>
        <w:jc w:val="both"/>
        <w:rPr>
          <w:rFonts w:ascii="Palatino Linotype" w:hAnsi="Palatino Linotype" w:cs="Arial"/>
          <w:b/>
          <w:bCs/>
          <w:i/>
          <w:color w:val="000000" w:themeColor="text1"/>
        </w:rPr>
      </w:pPr>
      <w:r w:rsidRPr="006B6503">
        <w:rPr>
          <w:rFonts w:ascii="Palatino Linotype" w:hAnsi="Palatino Linotype" w:cs="Arial"/>
          <w:b/>
          <w:bCs/>
          <w:i/>
          <w:color w:val="000000" w:themeColor="text1"/>
        </w:rPr>
        <w:t>“Artículo 163.</w:t>
      </w:r>
      <w:r w:rsidRPr="006B6503">
        <w:rPr>
          <w:rFonts w:ascii="Palatino Linotype" w:hAnsi="Palatino Linotype" w:cs="Arial"/>
          <w:bCs/>
          <w:i/>
          <w:color w:val="000000" w:themeColor="text1"/>
        </w:rPr>
        <w:t xml:space="preserve"> </w:t>
      </w:r>
      <w:r w:rsidRPr="006B6503">
        <w:rPr>
          <w:rFonts w:ascii="Palatino Linotype" w:hAnsi="Palatino Linotype" w:cs="Arial"/>
          <w:b/>
          <w:bCs/>
          <w:i/>
          <w:color w:val="000000" w:themeColor="text1"/>
        </w:rPr>
        <w:t>La Unidad de Transparencia deberá notificar la respuesta a la solicitud al interesado en el menor tiempo posible, que no podrá exceder de quince días hábiles, contados a partir del día siguiente a la presentación de aquélla.</w:t>
      </w:r>
    </w:p>
    <w:p w:rsidR="006D1961" w:rsidRPr="006B6503" w:rsidRDefault="006D1961" w:rsidP="006B6503">
      <w:pPr>
        <w:ind w:left="851" w:right="902"/>
        <w:jc w:val="both"/>
        <w:rPr>
          <w:rFonts w:ascii="Palatino Linotype" w:hAnsi="Palatino Linotype" w:cs="Arial"/>
          <w:bCs/>
          <w:i/>
          <w:color w:val="000000" w:themeColor="text1"/>
        </w:rPr>
      </w:pPr>
      <w:r w:rsidRPr="006B6503">
        <w:rPr>
          <w:rFonts w:ascii="Palatino Linotype" w:hAnsi="Palatino Linotype" w:cs="Arial"/>
          <w:bCs/>
          <w:i/>
          <w:color w:val="000000" w:themeColor="text1"/>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B6503" w:rsidRPr="006B6503" w:rsidRDefault="006B6503" w:rsidP="006B6503">
      <w:pPr>
        <w:ind w:left="851" w:right="902"/>
        <w:jc w:val="both"/>
        <w:rPr>
          <w:rFonts w:ascii="Palatino Linotype" w:hAnsi="Palatino Linotype" w:cs="Arial"/>
        </w:rPr>
      </w:pPr>
      <w:r w:rsidRPr="006B6503">
        <w:rPr>
          <w:rFonts w:ascii="Palatino Linotype" w:hAnsi="Palatino Linotype" w:cs="Arial"/>
          <w:bCs/>
          <w:i/>
          <w:color w:val="000000" w:themeColor="text1"/>
        </w:rPr>
        <w:t>(Énfasis añadido)</w:t>
      </w:r>
    </w:p>
    <w:p w:rsidR="006D1961" w:rsidRPr="006B6503" w:rsidRDefault="006D1961" w:rsidP="006D1961">
      <w:pPr>
        <w:spacing w:before="100" w:beforeAutospacing="1" w:after="100" w:afterAutospacing="1" w:line="360" w:lineRule="auto"/>
        <w:jc w:val="both"/>
        <w:rPr>
          <w:rFonts w:ascii="Palatino Linotype" w:hAnsi="Palatino Linotype" w:cs="Arial"/>
        </w:rPr>
      </w:pPr>
      <w:r w:rsidRPr="006B6503">
        <w:rPr>
          <w:rFonts w:ascii="Palatino Linotype" w:hAnsi="Palatino Linotype" w:cs="Arial"/>
        </w:rPr>
        <w:t xml:space="preserve">En ese sentido, la </w:t>
      </w:r>
      <w:r w:rsidR="006B6503" w:rsidRPr="006B6503">
        <w:rPr>
          <w:rFonts w:ascii="Palatino Linotype" w:hAnsi="Palatino Linotype" w:cs="Arial"/>
        </w:rPr>
        <w:t xml:space="preserve">suscrita </w:t>
      </w:r>
      <w:r w:rsidRPr="006B6503">
        <w:rPr>
          <w:rFonts w:ascii="Palatino Linotype" w:hAnsi="Palatino Linotype" w:cs="Arial"/>
        </w:rPr>
        <w:t>coincide con el hecho de que, de acuerdo con los procedimientos establecidos en la Ley de la Materia se debe dar vista al Contralor Interno del Instituto a fin de que en el ejercicio de sus respectivas atribuciones determine el grado de responsabilidad de</w:t>
      </w:r>
      <w:r w:rsidR="006B6503" w:rsidRPr="006B6503">
        <w:rPr>
          <w:rFonts w:ascii="Palatino Linotype" w:hAnsi="Palatino Linotype" w:cs="Arial"/>
        </w:rPr>
        <w:t xml:space="preserve"> </w:t>
      </w:r>
      <w:r w:rsidRPr="006B6503">
        <w:rPr>
          <w:rFonts w:ascii="Palatino Linotype" w:hAnsi="Palatino Linotype" w:cs="Arial"/>
        </w:rPr>
        <w:t>l</w:t>
      </w:r>
      <w:r w:rsidR="006B6503" w:rsidRPr="006B6503">
        <w:rPr>
          <w:rFonts w:ascii="Palatino Linotype" w:hAnsi="Palatino Linotype" w:cs="Arial"/>
        </w:rPr>
        <w:t xml:space="preserve">os Sujetos Obligados; </w:t>
      </w:r>
      <w:r w:rsidRPr="006B6503">
        <w:rPr>
          <w:rFonts w:ascii="Palatino Linotype" w:hAnsi="Palatino Linotype" w:cs="Arial"/>
        </w:rPr>
        <w:t>sin embargo</w:t>
      </w:r>
      <w:r w:rsidR="003E709A">
        <w:rPr>
          <w:rFonts w:ascii="Palatino Linotype" w:hAnsi="Palatino Linotype" w:cs="Arial"/>
        </w:rPr>
        <w:t>,</w:t>
      </w:r>
      <w:r w:rsidRPr="006B6503">
        <w:rPr>
          <w:rFonts w:ascii="Palatino Linotype" w:hAnsi="Palatino Linotype" w:cs="Arial"/>
        </w:rPr>
        <w:t xml:space="preserve"> difiero respecto a que el recurso de revisión sea el medio por el cual deba determinarse el </w:t>
      </w:r>
      <w:r w:rsidRPr="006B6503">
        <w:rPr>
          <w:rFonts w:ascii="Palatino Linotype" w:hAnsi="Palatino Linotype" w:cs="Arial"/>
        </w:rPr>
        <w:lastRenderedPageBreak/>
        <w:t xml:space="preserve">actuar de los Sujetos Obligados, esto es así, </w:t>
      </w:r>
      <w:r w:rsidRPr="006B6503">
        <w:rPr>
          <w:rFonts w:ascii="Palatino Linotype" w:hAnsi="Palatino Linotype" w:cs="Arial"/>
          <w:color w:val="000000"/>
          <w:lang w:eastAsia="es-MX"/>
        </w:rPr>
        <w:t xml:space="preserve">toda vez que el recurso de revisión es un medio de impugnación más no es el medio para determinar irregularidades cometidas por los Sujetos Obligados en la sustanciación del procedimiento de acceso a la información pública, </w:t>
      </w:r>
      <w:r w:rsidRPr="006B6503">
        <w:rPr>
          <w:rFonts w:ascii="Palatino Linotype" w:hAnsi="Palatino Linotype" w:cs="Arial"/>
        </w:rPr>
        <w:t>tal como lo advierte el artículo 190 de la Ley de Transparencia:</w:t>
      </w:r>
    </w:p>
    <w:p w:rsidR="006D1961" w:rsidRPr="006B6503" w:rsidRDefault="006D1961" w:rsidP="006D1961">
      <w:pPr>
        <w:ind w:left="851" w:right="902"/>
        <w:jc w:val="both"/>
        <w:rPr>
          <w:rFonts w:ascii="Palatino Linotype" w:hAnsi="Palatino Linotype"/>
          <w:b/>
          <w:i/>
          <w:sz w:val="22"/>
          <w:szCs w:val="22"/>
        </w:rPr>
      </w:pPr>
      <w:r w:rsidRPr="006B6503">
        <w:rPr>
          <w:rFonts w:ascii="Palatino Linotype" w:hAnsi="Palatino Linotype"/>
          <w:b/>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w:t>
      </w:r>
      <w:r w:rsidRPr="006B6503">
        <w:rPr>
          <w:rFonts w:ascii="Palatino Linotype" w:hAnsi="Palatino Linotype"/>
          <w:i/>
          <w:sz w:val="22"/>
          <w:szCs w:val="22"/>
        </w:rPr>
        <w:t xml:space="preserve"> de la instancia competente para que éste inicie, en su caso, el procedimiento de responsabilidad respectivo, cuyo resultado deberá de ser informado al Instituto</w:t>
      </w:r>
      <w:r w:rsidRPr="006B6503">
        <w:rPr>
          <w:rFonts w:ascii="Palatino Linotype" w:hAnsi="Palatino Linotype"/>
          <w:b/>
          <w:i/>
          <w:sz w:val="22"/>
          <w:szCs w:val="22"/>
        </w:rPr>
        <w:t>.”</w:t>
      </w:r>
    </w:p>
    <w:p w:rsidR="006B6503" w:rsidRPr="006B6503" w:rsidRDefault="006B6503" w:rsidP="006D1961">
      <w:pPr>
        <w:ind w:left="851" w:right="902"/>
        <w:jc w:val="both"/>
        <w:rPr>
          <w:rFonts w:ascii="Palatino Linotype" w:hAnsi="Palatino Linotype"/>
          <w:i/>
          <w:sz w:val="22"/>
          <w:szCs w:val="22"/>
        </w:rPr>
      </w:pPr>
      <w:r w:rsidRPr="006B6503">
        <w:rPr>
          <w:rFonts w:ascii="Palatino Linotype" w:hAnsi="Palatino Linotype"/>
          <w:i/>
          <w:sz w:val="22"/>
          <w:szCs w:val="22"/>
        </w:rPr>
        <w:t>(Énfasis añadido)</w:t>
      </w:r>
    </w:p>
    <w:p w:rsidR="006D1961" w:rsidRPr="006B6503" w:rsidRDefault="006D1961" w:rsidP="006D1961">
      <w:pPr>
        <w:spacing w:before="100" w:beforeAutospacing="1" w:after="100" w:afterAutospacing="1" w:line="360" w:lineRule="auto"/>
        <w:jc w:val="both"/>
        <w:rPr>
          <w:rFonts w:ascii="Palatino Linotype" w:hAnsi="Palatino Linotype" w:cs="Arial"/>
        </w:rPr>
      </w:pPr>
      <w:r w:rsidRPr="006B6503">
        <w:rPr>
          <w:rFonts w:ascii="Palatino Linotype" w:hAnsi="Palatino Linotype" w:cs="Arial"/>
        </w:rPr>
        <w:t xml:space="preserve">Es así que, de la transcripción </w:t>
      </w:r>
      <w:r w:rsidR="006B6503" w:rsidRPr="006B6503">
        <w:rPr>
          <w:rFonts w:ascii="Palatino Linotype" w:hAnsi="Palatino Linotype" w:cs="Arial"/>
        </w:rPr>
        <w:t xml:space="preserve">anterior </w:t>
      </w:r>
      <w:r w:rsidRPr="006B6503">
        <w:rPr>
          <w:rFonts w:ascii="Palatino Linotype" w:hAnsi="Palatino Linotype" w:cs="Arial"/>
        </w:rPr>
        <w:t>se acredita que corresponde a la Contraloría Interna de este Instituto</w:t>
      </w:r>
      <w:r w:rsidR="00F3091E">
        <w:rPr>
          <w:rFonts w:ascii="Palatino Linotype" w:hAnsi="Palatino Linotype" w:cs="Arial"/>
        </w:rPr>
        <w:t>,</w:t>
      </w:r>
      <w:r w:rsidRPr="006B6503">
        <w:rPr>
          <w:rFonts w:ascii="Palatino Linotype" w:hAnsi="Palatino Linotype" w:cs="Arial"/>
        </w:rPr>
        <w:t xml:space="preserve"> </w:t>
      </w:r>
      <w:r w:rsidR="00F3091E">
        <w:rPr>
          <w:rFonts w:ascii="Palatino Linotype" w:hAnsi="Palatino Linotype" w:cs="Arial"/>
        </w:rPr>
        <w:t>cuando de la sustanciación de los recursos de revisión se adviertan probables incumplimientos determinar lo conducente</w:t>
      </w:r>
      <w:r w:rsidRPr="006B6503">
        <w:rPr>
          <w:rFonts w:ascii="Palatino Linotype" w:hAnsi="Palatino Linotype" w:cs="Arial"/>
        </w:rPr>
        <w:t>; caso que se actualiza con la hipótes</w:t>
      </w:r>
      <w:r w:rsidR="006B6503" w:rsidRPr="006B6503">
        <w:rPr>
          <w:rFonts w:ascii="Palatino Linotype" w:hAnsi="Palatino Linotype" w:cs="Arial"/>
        </w:rPr>
        <w:t xml:space="preserve">is legal establecida </w:t>
      </w:r>
      <w:r w:rsidRPr="006B6503">
        <w:rPr>
          <w:rFonts w:ascii="Palatino Linotype" w:hAnsi="Palatino Linotype" w:cs="Arial"/>
        </w:rPr>
        <w:t xml:space="preserve">en concordancia con el ordinal 190 de la </w:t>
      </w:r>
      <w:r w:rsidR="00F3091E" w:rsidRPr="006B6503">
        <w:rPr>
          <w:rFonts w:ascii="Palatino Linotype" w:hAnsi="Palatino Linotype" w:cs="Arial"/>
        </w:rPr>
        <w:t xml:space="preserve">Ley </w:t>
      </w:r>
      <w:r w:rsidRPr="006B6503">
        <w:rPr>
          <w:rFonts w:ascii="Palatino Linotype" w:hAnsi="Palatino Linotype" w:cs="Arial"/>
        </w:rPr>
        <w:t xml:space="preserve">de la materia; </w:t>
      </w:r>
      <w:r w:rsidR="00F3091E">
        <w:rPr>
          <w:rFonts w:ascii="Palatino Linotype" w:hAnsi="Palatino Linotype" w:cs="Arial"/>
        </w:rPr>
        <w:t xml:space="preserve">sin embargo, el artículo 222 se encuentra inmerso en el Titulo Noveno denominado de las </w:t>
      </w:r>
      <w:r w:rsidR="00F3091E" w:rsidRPr="00F3091E">
        <w:rPr>
          <w:rFonts w:ascii="Palatino Linotype" w:hAnsi="Palatino Linotype" w:cs="Arial"/>
        </w:rPr>
        <w:t xml:space="preserve">Medidas </w:t>
      </w:r>
      <w:r w:rsidR="00F3091E">
        <w:rPr>
          <w:rFonts w:ascii="Palatino Linotype" w:hAnsi="Palatino Linotype" w:cs="Arial"/>
        </w:rPr>
        <w:t xml:space="preserve">de </w:t>
      </w:r>
      <w:r w:rsidR="00F3091E" w:rsidRPr="00F3091E">
        <w:rPr>
          <w:rFonts w:ascii="Palatino Linotype" w:hAnsi="Palatino Linotype" w:cs="Arial"/>
        </w:rPr>
        <w:t xml:space="preserve">Apremio, Responsabilidades </w:t>
      </w:r>
      <w:r w:rsidR="00F3091E">
        <w:rPr>
          <w:rFonts w:ascii="Palatino Linotype" w:hAnsi="Palatino Linotype" w:cs="Arial"/>
        </w:rPr>
        <w:t>y</w:t>
      </w:r>
      <w:r w:rsidR="00F3091E" w:rsidRPr="00F3091E">
        <w:rPr>
          <w:rFonts w:ascii="Palatino Linotype" w:hAnsi="Palatino Linotype" w:cs="Arial"/>
        </w:rPr>
        <w:t xml:space="preserve"> Sanciones</w:t>
      </w:r>
      <w:r w:rsidR="00CD0213">
        <w:rPr>
          <w:rFonts w:ascii="Palatino Linotype" w:hAnsi="Palatino Linotype" w:cs="Arial"/>
        </w:rPr>
        <w:t>, de lo que puede advertirse que el recurso de revisión no es la vía para determinar las responsabilidades administrativas por incumplimiento de obligaciones previstas en la Ley.</w:t>
      </w:r>
    </w:p>
    <w:p w:rsidR="006B6503" w:rsidRPr="006B6503" w:rsidRDefault="001D585E" w:rsidP="001D585E">
      <w:pPr>
        <w:spacing w:before="100" w:beforeAutospacing="1" w:after="100" w:afterAutospacing="1" w:line="360" w:lineRule="auto"/>
        <w:jc w:val="both"/>
        <w:rPr>
          <w:rFonts w:ascii="Palatino Linotype" w:hAnsi="Palatino Linotype" w:cs="Arial"/>
        </w:rPr>
      </w:pPr>
      <w:r w:rsidRPr="006B6503">
        <w:rPr>
          <w:rFonts w:ascii="Palatino Linotype" w:hAnsi="Palatino Linotype" w:cs="Arial"/>
        </w:rPr>
        <w:t xml:space="preserve">Es por lo anteriormente expuesto que, la que suscrita emite </w:t>
      </w:r>
      <w:r w:rsidRPr="006B6503">
        <w:rPr>
          <w:rFonts w:ascii="Palatino Linotype" w:hAnsi="Palatino Linotype" w:cs="Arial"/>
          <w:b/>
        </w:rPr>
        <w:t>VOTO PARTICULAR</w:t>
      </w:r>
      <w:r w:rsidRPr="006B6503">
        <w:rPr>
          <w:rFonts w:ascii="Palatino Linotype" w:hAnsi="Palatino Linotype" w:cs="Arial"/>
        </w:rPr>
        <w:t xml:space="preserve">, pues se insiste que lo procedente </w:t>
      </w:r>
      <w:r w:rsidR="006B6503" w:rsidRPr="006B6503">
        <w:rPr>
          <w:rFonts w:ascii="Palatino Linotype" w:hAnsi="Palatino Linotype" w:cs="Arial"/>
        </w:rPr>
        <w:t xml:space="preserve">respecto al estudio de la versión pública de la información que se está ordenando era que la Ponencia Resolutora analizara </w:t>
      </w:r>
      <w:r w:rsidR="00CD0213">
        <w:rPr>
          <w:rFonts w:ascii="Palatino Linotype" w:hAnsi="Palatino Linotype" w:cs="Arial"/>
        </w:rPr>
        <w:t xml:space="preserve">los datos </w:t>
      </w:r>
      <w:r w:rsidR="00CD0213">
        <w:rPr>
          <w:rFonts w:ascii="Palatino Linotype" w:hAnsi="Palatino Linotype" w:cs="Arial"/>
        </w:rPr>
        <w:lastRenderedPageBreak/>
        <w:t>a suprimir o testar para otorgar certeza jurídica a las partes</w:t>
      </w:r>
      <w:r w:rsidR="006B6503" w:rsidRPr="006B6503">
        <w:rPr>
          <w:rFonts w:ascii="Palatino Linotype" w:hAnsi="Palatino Linotype" w:cs="Arial"/>
        </w:rPr>
        <w:t xml:space="preserve">, así como que, lo procedente respecto a la negativa ficta del </w:t>
      </w:r>
      <w:r w:rsidR="006B6503" w:rsidRPr="006B6503">
        <w:rPr>
          <w:rFonts w:ascii="Palatino Linotype" w:hAnsi="Palatino Linotype" w:cs="Arial"/>
          <w:b/>
        </w:rPr>
        <w:t>SUJETO OBLIGADO</w:t>
      </w:r>
      <w:r w:rsidR="006B6503" w:rsidRPr="006B6503">
        <w:rPr>
          <w:rFonts w:ascii="Palatino Linotype" w:hAnsi="Palatino Linotype" w:cs="Arial"/>
        </w:rPr>
        <w:t xml:space="preserve"> era determinar dar vista al Órgano de Control Interno de este Instituto de conformidad </w:t>
      </w:r>
      <w:r w:rsidR="00CD0213">
        <w:rPr>
          <w:rFonts w:ascii="Palatino Linotype" w:hAnsi="Palatino Linotype" w:cs="Arial"/>
        </w:rPr>
        <w:t xml:space="preserve">únicamente </w:t>
      </w:r>
      <w:r w:rsidR="006B6503" w:rsidRPr="006B6503">
        <w:rPr>
          <w:rFonts w:ascii="Palatino Linotype" w:hAnsi="Palatino Linotype" w:cs="Arial"/>
        </w:rPr>
        <w:t>con el ordinal 190 de la Ley de Transparencia y Acceso a la Información Pública del Estado de México y Municipios.</w:t>
      </w:r>
    </w:p>
    <w:p w:rsidR="001D585E" w:rsidRPr="006B6503" w:rsidRDefault="001D585E" w:rsidP="001D585E">
      <w:pPr>
        <w:spacing w:before="100" w:beforeAutospacing="1" w:after="100" w:afterAutospacing="1" w:line="360" w:lineRule="auto"/>
        <w:jc w:val="both"/>
        <w:rPr>
          <w:rFonts w:ascii="Palatino Linotype" w:hAnsi="Palatino Linotype" w:cs="Arial"/>
        </w:rPr>
      </w:pPr>
    </w:p>
    <w:p w:rsidR="001D585E" w:rsidRPr="006B6503" w:rsidRDefault="001D585E" w:rsidP="001D585E">
      <w:pPr>
        <w:spacing w:before="100" w:beforeAutospacing="1" w:after="100" w:afterAutospacing="1" w:line="360" w:lineRule="auto"/>
        <w:jc w:val="both"/>
        <w:rPr>
          <w:rFonts w:ascii="Palatino Linotype" w:hAnsi="Palatino Linotype" w:cs="Arial"/>
        </w:rPr>
      </w:pPr>
    </w:p>
    <w:p w:rsidR="001D585E" w:rsidRPr="006B6503" w:rsidRDefault="001D585E" w:rsidP="001D585E">
      <w:pPr>
        <w:spacing w:before="100" w:beforeAutospacing="1" w:after="100" w:afterAutospacing="1" w:line="360" w:lineRule="auto"/>
        <w:jc w:val="both"/>
        <w:rPr>
          <w:rFonts w:ascii="Palatino Linotype" w:hAnsi="Palatino Linotype" w:cs="Arial"/>
        </w:rPr>
      </w:pPr>
    </w:p>
    <w:p w:rsidR="001D585E" w:rsidRDefault="001D585E" w:rsidP="001D585E">
      <w:pPr>
        <w:spacing w:before="100" w:beforeAutospacing="1" w:after="100" w:afterAutospacing="1" w:line="360" w:lineRule="auto"/>
        <w:jc w:val="both"/>
        <w:rPr>
          <w:rFonts w:ascii="Palatino Linotype" w:hAnsi="Palatino Linotype" w:cs="Arial"/>
        </w:rPr>
      </w:pPr>
    </w:p>
    <w:p w:rsidR="00EB12AA" w:rsidRPr="006B6503" w:rsidRDefault="00EB12AA" w:rsidP="001D585E">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1D585E" w:rsidRPr="006B6503" w:rsidTr="009B0EFA">
        <w:trPr>
          <w:jc w:val="center"/>
        </w:trPr>
        <w:tc>
          <w:tcPr>
            <w:tcW w:w="4393" w:type="dxa"/>
          </w:tcPr>
          <w:p w:rsidR="001D585E" w:rsidRPr="006B6503" w:rsidRDefault="001D585E" w:rsidP="009B0EFA">
            <w:pPr>
              <w:jc w:val="center"/>
              <w:rPr>
                <w:rFonts w:ascii="Palatino Linotype" w:hAnsi="Palatino Linotype"/>
                <w:b/>
              </w:rPr>
            </w:pPr>
            <w:r w:rsidRPr="006B6503">
              <w:rPr>
                <w:rFonts w:ascii="Palatino Linotype" w:hAnsi="Palatino Linotype"/>
                <w:b/>
              </w:rPr>
              <w:t>EVA ABAID YAPUR</w:t>
            </w:r>
          </w:p>
          <w:p w:rsidR="001D585E" w:rsidRDefault="001D585E" w:rsidP="00EB12AA">
            <w:pPr>
              <w:jc w:val="center"/>
              <w:rPr>
                <w:rFonts w:ascii="Palatino Linotype" w:hAnsi="Palatino Linotype"/>
                <w:b/>
              </w:rPr>
            </w:pPr>
            <w:r w:rsidRPr="006B6503">
              <w:rPr>
                <w:rFonts w:ascii="Palatino Linotype" w:hAnsi="Palatino Linotype"/>
                <w:b/>
              </w:rPr>
              <w:t>COMISIONADA</w:t>
            </w:r>
          </w:p>
          <w:p w:rsidR="007E25ED" w:rsidRDefault="007E25ED" w:rsidP="007E25ED">
            <w:pPr>
              <w:jc w:val="center"/>
              <w:rPr>
                <w:rFonts w:ascii="Palatino Linotype" w:hAnsi="Palatino Linotype" w:cs="Arial"/>
                <w:b/>
              </w:rPr>
            </w:pPr>
            <w:r>
              <w:rPr>
                <w:rFonts w:ascii="Palatino Linotype" w:hAnsi="Palatino Linotype" w:cs="Arial"/>
                <w:b/>
              </w:rPr>
              <w:t>(RÚBRICA)</w:t>
            </w:r>
          </w:p>
          <w:p w:rsidR="007E25ED" w:rsidRPr="006B6503" w:rsidRDefault="007E25ED" w:rsidP="00EB12AA">
            <w:pPr>
              <w:jc w:val="center"/>
              <w:rPr>
                <w:rFonts w:ascii="Palatino Linotype" w:hAnsi="Palatino Linotype"/>
                <w:b/>
              </w:rPr>
            </w:pPr>
            <w:bookmarkStart w:id="0" w:name="_GoBack"/>
            <w:bookmarkEnd w:id="0"/>
          </w:p>
        </w:tc>
      </w:tr>
    </w:tbl>
    <w:p w:rsidR="001D585E" w:rsidRDefault="001D585E" w:rsidP="001D585E">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6B6503" w:rsidRDefault="006B6503" w:rsidP="001D585E">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1D585E" w:rsidRDefault="001D585E" w:rsidP="001D585E">
      <w:pPr>
        <w:jc w:val="both"/>
        <w:rPr>
          <w:rFonts w:ascii="Palatino Linotype" w:eastAsia="Calibri" w:hAnsi="Palatino Linotype" w:cs="Arial"/>
          <w:color w:val="000000" w:themeColor="text1"/>
          <w:sz w:val="20"/>
          <w:szCs w:val="20"/>
        </w:rPr>
      </w:pPr>
      <w:r w:rsidRPr="006B6503">
        <w:rPr>
          <w:rFonts w:ascii="Palatino Linotype" w:eastAsia="Calibri" w:hAnsi="Palatino Linotype" w:cs="Arial"/>
          <w:color w:val="000000" w:themeColor="text1"/>
          <w:sz w:val="20"/>
          <w:szCs w:val="20"/>
        </w:rPr>
        <w:t>Esta hoja corresponde al voto particular emitido en la resolución del recurso de revisión 0</w:t>
      </w:r>
      <w:r w:rsidR="006B6503">
        <w:rPr>
          <w:rFonts w:ascii="Palatino Linotype" w:eastAsia="Calibri" w:hAnsi="Palatino Linotype" w:cs="Arial"/>
          <w:color w:val="000000" w:themeColor="text1"/>
          <w:sz w:val="20"/>
          <w:szCs w:val="20"/>
        </w:rPr>
        <w:t>3491</w:t>
      </w:r>
      <w:r w:rsidRPr="006B6503">
        <w:rPr>
          <w:rFonts w:ascii="Palatino Linotype" w:eastAsia="Calibri" w:hAnsi="Palatino Linotype" w:cs="Arial"/>
          <w:color w:val="000000" w:themeColor="text1"/>
          <w:sz w:val="20"/>
          <w:szCs w:val="20"/>
        </w:rPr>
        <w:t>/INFOEM/IP/RR/2018, aprobad</w:t>
      </w:r>
      <w:r w:rsidR="00EB12AA">
        <w:rPr>
          <w:rFonts w:ascii="Palatino Linotype" w:eastAsia="Calibri" w:hAnsi="Palatino Linotype" w:cs="Arial"/>
          <w:color w:val="000000" w:themeColor="text1"/>
          <w:sz w:val="20"/>
          <w:szCs w:val="20"/>
        </w:rPr>
        <w:t>o</w:t>
      </w:r>
      <w:r w:rsidRPr="006B6503">
        <w:rPr>
          <w:rFonts w:ascii="Palatino Linotype" w:eastAsia="Calibri" w:hAnsi="Palatino Linotype" w:cs="Arial"/>
          <w:color w:val="000000" w:themeColor="text1"/>
          <w:sz w:val="20"/>
          <w:szCs w:val="20"/>
        </w:rPr>
        <w:t xml:space="preserve"> el treinta y uno de octubre de dos mil dieciocho. </w:t>
      </w:r>
    </w:p>
    <w:p w:rsidR="00EB12AA" w:rsidRPr="00EB12AA" w:rsidRDefault="00EB12AA" w:rsidP="001D585E">
      <w:pPr>
        <w:jc w:val="both"/>
        <w:rPr>
          <w:rFonts w:ascii="Palatino Linotype" w:eastAsia="Calibri" w:hAnsi="Palatino Linotype" w:cs="Arial"/>
          <w:color w:val="000000" w:themeColor="text1"/>
          <w:sz w:val="8"/>
          <w:szCs w:val="20"/>
        </w:rPr>
      </w:pPr>
    </w:p>
    <w:p w:rsidR="001D585E" w:rsidRPr="006B6503" w:rsidRDefault="001D585E" w:rsidP="006B6503">
      <w:pPr>
        <w:jc w:val="both"/>
      </w:pPr>
      <w:r w:rsidRPr="006B6503">
        <w:rPr>
          <w:rFonts w:ascii="Palatino Linotype" w:eastAsia="Calibri" w:hAnsi="Palatino Linotype" w:cs="Arial"/>
          <w:color w:val="000000" w:themeColor="text1"/>
          <w:sz w:val="18"/>
          <w:szCs w:val="18"/>
        </w:rPr>
        <w:t>YSM/AMV</w:t>
      </w:r>
    </w:p>
    <w:sectPr w:rsidR="001D585E" w:rsidRPr="006B6503"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219" w:rsidRDefault="00261219" w:rsidP="001D585E">
      <w:r>
        <w:separator/>
      </w:r>
    </w:p>
  </w:endnote>
  <w:endnote w:type="continuationSeparator" w:id="0">
    <w:p w:rsidR="00261219" w:rsidRDefault="00261219" w:rsidP="001D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7E25ED" w:rsidP="00DC5C4E">
    <w:pPr>
      <w:pStyle w:val="Piedepgina"/>
      <w:tabs>
        <w:tab w:val="clear" w:pos="4252"/>
        <w:tab w:val="left" w:pos="4228"/>
      </w:tabs>
      <w:rPr>
        <w:rFonts w:ascii="Palatino Linotype" w:hAnsi="Palatino Linotype" w:cs="Arial"/>
        <w:b/>
        <w:bCs/>
        <w:sz w:val="20"/>
        <w:szCs w:val="20"/>
      </w:rPr>
    </w:pPr>
  </w:p>
  <w:p w:rsidR="006B6503" w:rsidRDefault="006B6503" w:rsidP="00DC5C4E">
    <w:pPr>
      <w:pStyle w:val="Piedepgina"/>
      <w:tabs>
        <w:tab w:val="clear" w:pos="4252"/>
        <w:tab w:val="left" w:pos="4228"/>
      </w:tabs>
      <w:rPr>
        <w:rFonts w:ascii="Palatino Linotype" w:hAnsi="Palatino Linotype" w:cs="Arial"/>
        <w:b/>
        <w:bCs/>
        <w:sz w:val="20"/>
        <w:szCs w:val="20"/>
      </w:rPr>
    </w:pPr>
  </w:p>
  <w:p w:rsidR="005C7C8F" w:rsidRDefault="007E25ED" w:rsidP="00DC5C4E">
    <w:pPr>
      <w:pStyle w:val="Piedepgina"/>
      <w:tabs>
        <w:tab w:val="clear" w:pos="4252"/>
        <w:tab w:val="left" w:pos="4228"/>
      </w:tabs>
      <w:rPr>
        <w:rFonts w:ascii="Palatino Linotype" w:hAnsi="Palatino Linotype" w:cs="Arial"/>
        <w:b/>
        <w:bCs/>
        <w:sz w:val="20"/>
        <w:szCs w:val="20"/>
      </w:rPr>
    </w:pPr>
  </w:p>
  <w:p w:rsidR="005C7C8F" w:rsidRDefault="007E25ED" w:rsidP="00DC5C4E">
    <w:pPr>
      <w:pStyle w:val="Piedepgina"/>
      <w:tabs>
        <w:tab w:val="clear" w:pos="4252"/>
        <w:tab w:val="left" w:pos="4228"/>
      </w:tabs>
      <w:rPr>
        <w:rFonts w:ascii="Palatino Linotype" w:hAnsi="Palatino Linotype" w:cs="Arial"/>
        <w:b/>
        <w:bCs/>
        <w:sz w:val="20"/>
        <w:szCs w:val="20"/>
      </w:rPr>
    </w:pPr>
  </w:p>
  <w:p w:rsidR="005C7C8F" w:rsidRDefault="007E25ED" w:rsidP="00DC5C4E">
    <w:pPr>
      <w:pStyle w:val="Piedepgina"/>
      <w:rPr>
        <w:rFonts w:ascii="Palatino Linotype" w:hAnsi="Palatino Linotype" w:cs="Arial"/>
        <w:b/>
        <w:bCs/>
        <w:sz w:val="20"/>
        <w:szCs w:val="20"/>
      </w:rPr>
    </w:pPr>
  </w:p>
  <w:p w:rsidR="005C7C8F" w:rsidRPr="00F12350" w:rsidRDefault="002C4BB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E25ED">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E25ED">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rsidR="005C7C8F" w:rsidRDefault="007E25ED"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219" w:rsidRDefault="00261219" w:rsidP="001D585E">
      <w:r>
        <w:separator/>
      </w:r>
    </w:p>
  </w:footnote>
  <w:footnote w:type="continuationSeparator" w:id="0">
    <w:p w:rsidR="00261219" w:rsidRDefault="00261219" w:rsidP="001D5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7E25E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2C4BB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46F5D6ED" wp14:editId="60432CDE">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7E25ED" w:rsidP="00DC5C4E">
    <w:pPr>
      <w:pStyle w:val="Encabezado"/>
      <w:tabs>
        <w:tab w:val="clear" w:pos="4252"/>
        <w:tab w:val="clear" w:pos="8504"/>
        <w:tab w:val="left" w:pos="2326"/>
      </w:tabs>
      <w:jc w:val="right"/>
    </w:pPr>
  </w:p>
  <w:p w:rsidR="005C7C8F" w:rsidRDefault="002C4BB8"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2C4BB8"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1D585E">
      <w:rPr>
        <w:rFonts w:ascii="Palatino Linotype" w:hAnsi="Palatino Linotype" w:cs="Arial"/>
        <w:sz w:val="20"/>
        <w:szCs w:val="20"/>
      </w:rPr>
      <w:t>3491</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7E25ED"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73.9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7E25E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E36F8"/>
    <w:multiLevelType w:val="hybridMultilevel"/>
    <w:tmpl w:val="EF82DE72"/>
    <w:lvl w:ilvl="0" w:tplc="5FD6134A">
      <w:start w:val="1"/>
      <w:numFmt w:val="decimal"/>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85E"/>
    <w:rsid w:val="000C7356"/>
    <w:rsid w:val="001A2735"/>
    <w:rsid w:val="001D585E"/>
    <w:rsid w:val="00261219"/>
    <w:rsid w:val="002C4BB8"/>
    <w:rsid w:val="00335106"/>
    <w:rsid w:val="003E709A"/>
    <w:rsid w:val="006B6503"/>
    <w:rsid w:val="006D1961"/>
    <w:rsid w:val="007E25ED"/>
    <w:rsid w:val="00C23B43"/>
    <w:rsid w:val="00C9714C"/>
    <w:rsid w:val="00CD0213"/>
    <w:rsid w:val="00EB12AA"/>
    <w:rsid w:val="00F309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BCBC134-5E87-409D-99FE-01796885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8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585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D585E"/>
    <w:rPr>
      <w:rFonts w:eastAsiaTheme="minorEastAsia"/>
      <w:sz w:val="24"/>
      <w:szCs w:val="24"/>
      <w:lang w:val="es-ES_tradnl" w:eastAsia="es-ES"/>
    </w:rPr>
  </w:style>
  <w:style w:type="paragraph" w:styleId="Piedepgina">
    <w:name w:val="footer"/>
    <w:basedOn w:val="Normal"/>
    <w:link w:val="PiedepginaCar"/>
    <w:uiPriority w:val="99"/>
    <w:unhideWhenUsed/>
    <w:rsid w:val="001D585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D585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7356"/>
    <w:pPr>
      <w:ind w:left="720"/>
      <w:contextualSpacing/>
    </w:pPr>
    <w:rPr>
      <w:rFonts w:ascii="Century Gothic" w:hAnsi="Century Gothic"/>
      <w:sz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C7356"/>
    <w:rPr>
      <w:rFonts w:ascii="Century Gothic" w:eastAsia="Times New Roman" w:hAnsi="Century Gothic" w:cs="Times New Roman"/>
      <w:szCs w:val="24"/>
      <w:lang w:eastAsia="es-ES"/>
    </w:rPr>
  </w:style>
  <w:style w:type="paragraph" w:styleId="Textodeglobo">
    <w:name w:val="Balloon Text"/>
    <w:basedOn w:val="Normal"/>
    <w:link w:val="TextodegloboCar"/>
    <w:uiPriority w:val="99"/>
    <w:semiHidden/>
    <w:unhideWhenUsed/>
    <w:rsid w:val="006B65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650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11</Pages>
  <Words>3137</Words>
  <Characters>17255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2018-11-06T21:07:00Z</cp:lastPrinted>
  <dcterms:created xsi:type="dcterms:W3CDTF">2018-11-06T01:54:00Z</dcterms:created>
  <dcterms:modified xsi:type="dcterms:W3CDTF">2018-11-21T23:36:00Z</dcterms:modified>
</cp:coreProperties>
</file>